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5"/>
        <w:autoSpaceDE w:val="0"/>
        <w:spacing w:line="360" w:lineRule="auto"/>
        <w:rPr>
          <w:rFonts w:hint="eastAsia" w:ascii="Times New Roman" w:hAnsi="Times New Roman" w:cs="Times New Roman" w:eastAsiaTheme="minorEastAsia"/>
          <w:b/>
          <w:bCs/>
          <w:sz w:val="44"/>
          <w:szCs w:val="44"/>
          <w:lang w:eastAsia="zh-CN"/>
        </w:rPr>
      </w:pPr>
      <w:bookmarkStart w:id="0" w:name="_Toc32751"/>
      <w:bookmarkStart w:id="1" w:name="_Toc8762"/>
      <w:bookmarkStart w:id="2" w:name="_Toc28706"/>
      <w:bookmarkStart w:id="3" w:name="_Toc26014"/>
      <w:bookmarkStart w:id="4" w:name="_Toc21000"/>
      <w:bookmarkStart w:id="5" w:name="_Toc17954"/>
      <w:bookmarkStart w:id="6" w:name="_Toc463949078"/>
      <w:bookmarkStart w:id="7" w:name="_Toc463949079"/>
    </w:p>
    <w:p>
      <w:pPr>
        <w:pStyle w:val="185"/>
        <w:autoSpaceDE w:val="0"/>
        <w:spacing w:line="360" w:lineRule="auto"/>
        <w:rPr>
          <w:rFonts w:hint="eastAsia" w:ascii="Times New Roman" w:hAnsi="Times New Roman" w:cs="Times New Roman" w:eastAsiaTheme="minorEastAsia"/>
          <w:b/>
          <w:bCs/>
          <w:sz w:val="44"/>
          <w:szCs w:val="44"/>
          <w:lang w:eastAsia="zh-CN"/>
        </w:rPr>
      </w:pPr>
    </w:p>
    <w:p>
      <w:pPr>
        <w:pStyle w:val="185"/>
        <w:autoSpaceDE w:val="0"/>
        <w:spacing w:line="360" w:lineRule="auto"/>
        <w:rPr>
          <w:rFonts w:hint="eastAsia" w:ascii="Times New Roman" w:hAnsi="Times New Roman" w:cs="Times New Roman" w:eastAsiaTheme="minorEastAsia"/>
          <w:b/>
          <w:bCs/>
          <w:sz w:val="44"/>
          <w:szCs w:val="44"/>
          <w:lang w:eastAsia="zh-CN"/>
        </w:rPr>
      </w:pPr>
    </w:p>
    <w:p>
      <w:pPr>
        <w:pStyle w:val="185"/>
        <w:autoSpaceDE w:val="0"/>
        <w:spacing w:line="360" w:lineRule="auto"/>
        <w:rPr>
          <w:rFonts w:hint="eastAsia" w:ascii="Times New Roman" w:hAnsi="Times New Roman" w:cs="Times New Roman" w:eastAsiaTheme="minorEastAsia"/>
          <w:b/>
          <w:bCs/>
          <w:sz w:val="44"/>
          <w:szCs w:val="44"/>
          <w:lang w:eastAsia="zh-CN"/>
        </w:rPr>
      </w:pPr>
    </w:p>
    <w:p>
      <w:pPr>
        <w:pStyle w:val="185"/>
        <w:autoSpaceDE w:val="0"/>
        <w:spacing w:line="360" w:lineRule="auto"/>
        <w:rPr>
          <w:rFonts w:hint="eastAsia" w:ascii="Times New Roman" w:hAnsi="Times New Roman" w:cs="Times New Roman" w:eastAsiaTheme="minorEastAsia"/>
          <w:b/>
          <w:bCs/>
          <w:sz w:val="44"/>
          <w:szCs w:val="44"/>
          <w:lang w:eastAsia="zh-CN"/>
        </w:rPr>
      </w:pPr>
    </w:p>
    <w:p>
      <w:pPr>
        <w:pStyle w:val="185"/>
        <w:autoSpaceDE w:val="0"/>
        <w:spacing w:line="360" w:lineRule="auto"/>
        <w:rPr>
          <w:rFonts w:hint="eastAsia" w:ascii="仿宋" w:hAnsi="仿宋" w:eastAsia="仿宋" w:cs="仿宋"/>
          <w:b w:val="0"/>
          <w:bCs w:val="0"/>
          <w:sz w:val="52"/>
          <w:szCs w:val="52"/>
          <w:lang w:eastAsia="zh-CN"/>
        </w:rPr>
      </w:pPr>
      <w:r>
        <w:rPr>
          <w:rFonts w:hint="eastAsia" w:ascii="仿宋" w:hAnsi="仿宋" w:eastAsia="仿宋" w:cs="仿宋"/>
          <w:b w:val="0"/>
          <w:bCs w:val="0"/>
          <w:sz w:val="52"/>
          <w:szCs w:val="52"/>
          <w:lang w:eastAsia="zh-CN"/>
        </w:rPr>
        <w:t>新疆福克油品股份有限公司</w:t>
      </w:r>
    </w:p>
    <w:p>
      <w:pPr>
        <w:pStyle w:val="185"/>
        <w:autoSpaceDE w:val="0"/>
        <w:spacing w:line="360" w:lineRule="auto"/>
        <w:rPr>
          <w:rFonts w:hint="eastAsia" w:ascii="仿宋" w:hAnsi="仿宋" w:eastAsia="仿宋" w:cs="仿宋"/>
          <w:b w:val="0"/>
          <w:bCs w:val="0"/>
          <w:sz w:val="52"/>
          <w:szCs w:val="52"/>
          <w:lang w:eastAsia="zh-CN"/>
        </w:rPr>
      </w:pPr>
      <w:r>
        <w:rPr>
          <w:rFonts w:hint="eastAsia" w:ascii="仿宋" w:hAnsi="仿宋" w:eastAsia="仿宋" w:cs="仿宋"/>
          <w:b w:val="0"/>
          <w:bCs w:val="0"/>
          <w:sz w:val="52"/>
          <w:szCs w:val="52"/>
          <w:lang w:eastAsia="zh-CN"/>
        </w:rPr>
        <w:t>突发环境事件应急预案</w:t>
      </w:r>
    </w:p>
    <w:p>
      <w:pPr>
        <w:pStyle w:val="185"/>
        <w:autoSpaceDE w:val="0"/>
        <w:spacing w:line="360" w:lineRule="auto"/>
        <w:rPr>
          <w:rFonts w:hint="eastAsia" w:ascii="仿宋" w:hAnsi="仿宋" w:eastAsia="仿宋" w:cs="仿宋"/>
          <w:b/>
          <w:bCs/>
          <w:sz w:val="44"/>
          <w:szCs w:val="44"/>
          <w:lang w:eastAsia="zh-CN"/>
        </w:rPr>
      </w:pPr>
    </w:p>
    <w:p>
      <w:pPr>
        <w:pStyle w:val="185"/>
        <w:autoSpaceDE w:val="0"/>
        <w:spacing w:line="360" w:lineRule="auto"/>
        <w:rPr>
          <w:rFonts w:hint="eastAsia" w:ascii="仿宋" w:hAnsi="仿宋" w:eastAsia="仿宋" w:cs="仿宋"/>
          <w:b/>
          <w:bCs/>
          <w:sz w:val="44"/>
          <w:szCs w:val="44"/>
          <w:lang w:eastAsia="zh-CN"/>
        </w:rPr>
      </w:pPr>
    </w:p>
    <w:p>
      <w:pPr>
        <w:pStyle w:val="185"/>
        <w:autoSpaceDE w:val="0"/>
        <w:spacing w:line="360" w:lineRule="auto"/>
        <w:rPr>
          <w:rFonts w:hint="eastAsia" w:ascii="仿宋" w:hAnsi="仿宋" w:eastAsia="仿宋" w:cs="仿宋"/>
          <w:b/>
          <w:bCs/>
          <w:sz w:val="44"/>
          <w:szCs w:val="44"/>
          <w:lang w:eastAsia="zh-CN"/>
        </w:rPr>
      </w:pPr>
    </w:p>
    <w:p>
      <w:pPr>
        <w:pStyle w:val="185"/>
        <w:autoSpaceDE w:val="0"/>
        <w:spacing w:line="360" w:lineRule="auto"/>
        <w:rPr>
          <w:rFonts w:hint="eastAsia" w:ascii="仿宋" w:hAnsi="仿宋" w:eastAsia="仿宋" w:cs="仿宋"/>
          <w:b/>
          <w:bCs/>
          <w:sz w:val="44"/>
          <w:szCs w:val="44"/>
          <w:lang w:eastAsia="zh-CN"/>
        </w:rPr>
      </w:pPr>
    </w:p>
    <w:p>
      <w:pPr>
        <w:pStyle w:val="185"/>
        <w:autoSpaceDE w:val="0"/>
        <w:spacing w:line="360" w:lineRule="auto"/>
        <w:rPr>
          <w:rFonts w:hint="eastAsia" w:ascii="仿宋" w:hAnsi="仿宋" w:eastAsia="仿宋" w:cs="仿宋"/>
          <w:b/>
          <w:bCs/>
          <w:sz w:val="44"/>
          <w:szCs w:val="44"/>
          <w:lang w:eastAsia="zh-CN"/>
        </w:rPr>
      </w:pPr>
    </w:p>
    <w:p>
      <w:pPr>
        <w:pStyle w:val="185"/>
        <w:autoSpaceDE w:val="0"/>
        <w:spacing w:line="360" w:lineRule="auto"/>
        <w:rPr>
          <w:rFonts w:hint="eastAsia" w:ascii="仿宋" w:hAnsi="仿宋" w:eastAsia="仿宋" w:cs="仿宋"/>
          <w:b/>
          <w:bCs/>
          <w:sz w:val="44"/>
          <w:szCs w:val="44"/>
          <w:lang w:eastAsia="zh-CN"/>
        </w:rPr>
      </w:pPr>
    </w:p>
    <w:p>
      <w:pPr>
        <w:pStyle w:val="185"/>
        <w:autoSpaceDE w:val="0"/>
        <w:spacing w:line="360" w:lineRule="auto"/>
        <w:rPr>
          <w:rFonts w:hint="eastAsia" w:ascii="仿宋" w:hAnsi="仿宋" w:eastAsia="仿宋" w:cs="仿宋"/>
          <w:b/>
          <w:bCs/>
          <w:sz w:val="44"/>
          <w:szCs w:val="44"/>
          <w:lang w:eastAsia="zh-CN"/>
        </w:rPr>
      </w:pPr>
    </w:p>
    <w:p>
      <w:pPr>
        <w:pStyle w:val="185"/>
        <w:autoSpaceDE w:val="0"/>
        <w:spacing w:line="360" w:lineRule="auto"/>
        <w:jc w:val="center"/>
        <w:rPr>
          <w:rFonts w:hint="eastAsia" w:ascii="仿宋" w:hAnsi="仿宋" w:eastAsia="仿宋" w:cs="仿宋"/>
          <w:b w:val="0"/>
          <w:bCs w:val="0"/>
          <w:sz w:val="30"/>
          <w:szCs w:val="30"/>
          <w:lang w:eastAsia="zh-CN"/>
        </w:rPr>
      </w:pPr>
      <w:r>
        <w:rPr>
          <w:rFonts w:hint="eastAsia" w:ascii="仿宋" w:hAnsi="仿宋" w:cs="仿宋"/>
          <w:b w:val="0"/>
          <w:bCs w:val="0"/>
          <w:sz w:val="30"/>
          <w:szCs w:val="30"/>
          <w:lang w:eastAsia="zh-CN"/>
        </w:rPr>
        <w:t>新疆福克油品股份有限公司</w:t>
      </w:r>
    </w:p>
    <w:p>
      <w:pPr>
        <w:pStyle w:val="185"/>
        <w:autoSpaceDE w:val="0"/>
        <w:spacing w:line="360" w:lineRule="auto"/>
        <w:jc w:val="center"/>
        <w:rPr>
          <w:rFonts w:hint="eastAsia" w:ascii="仿宋" w:hAnsi="仿宋" w:eastAsia="仿宋" w:cs="仿宋"/>
          <w:b w:val="0"/>
          <w:bCs w:val="0"/>
          <w:sz w:val="30"/>
          <w:szCs w:val="30"/>
          <w:lang w:val="en-US" w:eastAsia="zh-CN"/>
        </w:rPr>
        <w:sectPr>
          <w:headerReference r:id="rId5" w:type="first"/>
          <w:footerReference r:id="rId8" w:type="first"/>
          <w:headerReference r:id="rId3" w:type="default"/>
          <w:footerReference r:id="rId6" w:type="default"/>
          <w:headerReference r:id="rId4" w:type="even"/>
          <w:footerReference r:id="rId7" w:type="even"/>
          <w:pgSz w:w="11911" w:h="16838"/>
          <w:pgMar w:top="1378" w:right="1400" w:bottom="1417" w:left="1417" w:header="850" w:footer="992" w:gutter="0"/>
          <w:pgNumType w:fmt="numberInDash" w:start="1"/>
          <w:cols w:space="720" w:num="1"/>
          <w:docGrid w:linePitch="312" w:charSpace="0"/>
        </w:sectPr>
      </w:pPr>
      <w:r>
        <w:rPr>
          <w:rFonts w:hint="eastAsia" w:ascii="仿宋" w:hAnsi="仿宋" w:cs="仿宋"/>
          <w:b w:val="0"/>
          <w:bCs w:val="0"/>
          <w:sz w:val="30"/>
          <w:szCs w:val="30"/>
          <w:lang w:val="en-US" w:eastAsia="zh-CN"/>
        </w:rPr>
        <w:t>2</w:t>
      </w:r>
      <w:r>
        <w:rPr>
          <w:rFonts w:hint="eastAsia" w:ascii="仿宋" w:hAnsi="仿宋" w:eastAsia="仿宋" w:cs="仿宋"/>
          <w:b w:val="0"/>
          <w:bCs w:val="0"/>
          <w:sz w:val="30"/>
          <w:szCs w:val="30"/>
          <w:lang w:val="en-US" w:eastAsia="zh-CN"/>
        </w:rPr>
        <w:t>020年9月</w:t>
      </w:r>
    </w:p>
    <w:p>
      <w:pPr>
        <w:pStyle w:val="185"/>
        <w:autoSpaceDE w:val="0"/>
        <w:spacing w:line="360" w:lineRule="auto"/>
        <w:jc w:val="center"/>
        <w:rPr>
          <w:rFonts w:ascii="Times New Roman" w:hAnsi="Times New Roman" w:cs="Times New Roman" w:eastAsiaTheme="minorEastAsia"/>
          <w:b/>
          <w:bCs/>
          <w:sz w:val="32"/>
          <w:szCs w:val="32"/>
        </w:rPr>
      </w:pPr>
      <w:r>
        <w:rPr>
          <w:rFonts w:ascii="Times New Roman" w:hAnsi="Times New Roman" w:cs="Times New Roman" w:eastAsiaTheme="minorEastAsia"/>
          <w:b/>
          <w:bCs/>
          <w:sz w:val="32"/>
          <w:szCs w:val="32"/>
        </w:rPr>
        <w:t>前  言</w:t>
      </w:r>
      <w:bookmarkEnd w:id="0"/>
      <w:bookmarkEnd w:id="1"/>
      <w:bookmarkEnd w:id="2"/>
      <w:bookmarkEnd w:id="3"/>
      <w:bookmarkEnd w:id="4"/>
    </w:p>
    <w:p>
      <w:pPr>
        <w:keepNext w:val="0"/>
        <w:keepLines w:val="0"/>
        <w:pageBreakBefore w:val="0"/>
        <w:kinsoku/>
        <w:wordWrap/>
        <w:overflowPunct/>
        <w:topLinePunct w:val="0"/>
        <w:autoSpaceDE/>
        <w:autoSpaceDN/>
        <w:bidi w:val="0"/>
        <w:adjustRightInd/>
        <w:snapToGrid/>
        <w:spacing w:line="360" w:lineRule="auto"/>
        <w:ind w:left="0" w:leftChars="0" w:right="0" w:rightChars="0" w:firstLine="482" w:firstLineChars="0"/>
        <w:jc w:val="left"/>
        <w:textAlignment w:val="auto"/>
        <w:outlineLvl w:val="9"/>
        <w:rPr>
          <w:rFonts w:hint="eastAsia" w:ascii="仿宋" w:hAnsi="仿宋" w:eastAsia="仿宋" w:cs="仿宋"/>
          <w:sz w:val="28"/>
          <w:szCs w:val="28"/>
        </w:rPr>
      </w:pPr>
      <w:r>
        <w:rPr>
          <w:rFonts w:hint="eastAsia" w:ascii="仿宋" w:hAnsi="仿宋" w:eastAsia="仿宋" w:cs="仿宋"/>
          <w:sz w:val="28"/>
          <w:szCs w:val="28"/>
        </w:rPr>
        <w:t>突发环境事件是指</w:t>
      </w:r>
      <w:r>
        <w:rPr>
          <w:rFonts w:hint="eastAsia" w:ascii="仿宋" w:hAnsi="仿宋" w:eastAsia="仿宋" w:cs="仿宋"/>
          <w:kern w:val="0"/>
          <w:sz w:val="28"/>
          <w:szCs w:val="28"/>
        </w:rPr>
        <w:t>突然发生，造成或者可能造成重大人员伤亡、重大财产损失和对区域的经济社会稳定、政治安定构成重大威胁和损害、有重大社会影响的涉及公共安全的环境事件。</w:t>
      </w:r>
      <w:r>
        <w:rPr>
          <w:rFonts w:hint="eastAsia" w:ascii="仿宋" w:hAnsi="仿宋" w:eastAsia="仿宋" w:cs="仿宋"/>
          <w:sz w:val="28"/>
          <w:szCs w:val="28"/>
        </w:rPr>
        <w:t>由于污染物排放或自然灾害、生产安全事故等因素，导致污染物或放射性物质等有毒有害物质进入大气、水体、土壤等环境介质，突然造成或可能造成环境质量下降，危及公众身体健康和财产安全，或造成生态环境破坏，或造成重大社会影响，需要采取紧急措施予以应对的事件。</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为有效防范突发环境事件的发生，及时、妥善处置可能发生的各类重大、特大突发环境事件，保障人民群众身心健康及正常生产、生活，依据《中华人民共和国环境保护法》、《中华人民共和国事件应急预案管理办法》、《国家突发环境事件应急预案》、《企业事业单位突发环境事件应急预案备案管理办法（试行）》和《突发环境事件信息报告办法》等法律、法规相关规定和生态环境部门的有关突发环境事件预防、响应、应急、报告、处置等内容，重点加强生产、贮存、运输、使用等各个环节危险化学品的日常管理和安全防范工作，从风险事故防控、环境保护方面，结合自治区生态环境主管部门要求，谨采用科学、系统的方法，切实落实国家以及自治区行政主管部门下达的各项环境风险应急防控要求。严防各种突发环境事件的发生，规范和强化突发环境事件的应急处置工作，以预防发生为重点，逐步完善处置突发环境事件的预警、处置及善后工作机制，建立</w:t>
      </w:r>
      <w:r>
        <w:rPr>
          <w:rFonts w:hint="eastAsia" w:ascii="仿宋" w:hAnsi="仿宋" w:eastAsia="仿宋" w:cs="仿宋"/>
          <w:kern w:val="0"/>
          <w:sz w:val="28"/>
          <w:szCs w:val="28"/>
          <w:lang w:val="en-US" w:eastAsia="zh-CN"/>
        </w:rPr>
        <w:t>新疆福克油品股份有限公司</w:t>
      </w:r>
      <w:r>
        <w:rPr>
          <w:rFonts w:hint="eastAsia" w:ascii="仿宋" w:hAnsi="仿宋" w:eastAsia="仿宋" w:cs="仿宋"/>
          <w:kern w:val="0"/>
          <w:sz w:val="28"/>
          <w:szCs w:val="28"/>
        </w:rPr>
        <w:t>防范有力、指挥有序、快速高效和统一协调的突发环境事件应急处置体系。</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本预案</w:t>
      </w:r>
      <w:r>
        <w:rPr>
          <w:rFonts w:hint="eastAsia" w:ascii="仿宋" w:hAnsi="仿宋" w:eastAsia="仿宋" w:cs="仿宋"/>
          <w:kern w:val="0"/>
          <w:sz w:val="28"/>
          <w:szCs w:val="28"/>
          <w:lang w:eastAsia="zh-CN"/>
        </w:rPr>
        <w:t>于</w:t>
      </w:r>
      <w:r>
        <w:rPr>
          <w:rFonts w:hint="eastAsia" w:ascii="仿宋" w:hAnsi="仿宋" w:eastAsia="仿宋" w:cs="仿宋"/>
          <w:kern w:val="0"/>
          <w:sz w:val="28"/>
          <w:szCs w:val="28"/>
          <w:lang w:val="en-US" w:eastAsia="zh-CN"/>
        </w:rPr>
        <w:t>2014年3月首次编制，并于2017年6月进行了第二次修订，于2020年8月进行了第三次修订。该预案</w:t>
      </w:r>
      <w:r>
        <w:rPr>
          <w:rFonts w:hint="eastAsia" w:ascii="仿宋" w:hAnsi="仿宋" w:eastAsia="仿宋" w:cs="仿宋"/>
          <w:kern w:val="0"/>
          <w:sz w:val="28"/>
          <w:szCs w:val="28"/>
        </w:rPr>
        <w:t>由</w:t>
      </w:r>
      <w:r>
        <w:rPr>
          <w:rFonts w:hint="eastAsia" w:ascii="仿宋" w:hAnsi="仿宋" w:eastAsia="仿宋" w:cs="仿宋"/>
          <w:kern w:val="0"/>
          <w:sz w:val="28"/>
          <w:szCs w:val="28"/>
          <w:lang w:val="en-US" w:eastAsia="zh-CN"/>
        </w:rPr>
        <w:t>新疆福克油品股份有限公司</w:t>
      </w:r>
      <w:r>
        <w:rPr>
          <w:rFonts w:hint="eastAsia" w:ascii="仿宋" w:hAnsi="仿宋" w:eastAsia="仿宋" w:cs="仿宋"/>
          <w:kern w:val="0"/>
          <w:sz w:val="28"/>
          <w:szCs w:val="28"/>
        </w:rPr>
        <w:t>总负责人批准发布并实施。</w:t>
      </w:r>
    </w:p>
    <w:p>
      <w:pPr>
        <w:pStyle w:val="2"/>
        <w:rPr>
          <w:rFonts w:ascii="Times New Roman" w:hAnsi="Times New Roman" w:cs="Times New Roman" w:eastAsiaTheme="minorEastAsia"/>
        </w:rPr>
      </w:pPr>
    </w:p>
    <w:p>
      <w:pPr>
        <w:rPr>
          <w:rFonts w:eastAsiaTheme="minorEastAsia"/>
          <w:kern w:val="0"/>
          <w:sz w:val="24"/>
        </w:rPr>
      </w:pPr>
    </w:p>
    <w:p>
      <w:pPr>
        <w:widowControl/>
        <w:ind w:firstLine="0" w:firstLineChars="0"/>
        <w:jc w:val="center"/>
        <w:rPr>
          <w:b/>
          <w:color w:val="000000"/>
          <w:kern w:val="0"/>
          <w:sz w:val="32"/>
          <w:szCs w:val="32"/>
          <w:lang w:bidi="ar"/>
        </w:rPr>
      </w:pPr>
      <w:r>
        <w:rPr>
          <w:b/>
          <w:color w:val="000000"/>
          <w:kern w:val="0"/>
          <w:sz w:val="32"/>
          <w:szCs w:val="32"/>
          <w:lang w:bidi="ar"/>
        </w:rPr>
        <w:t>突发环境事件应急预案签署发布令</w:t>
      </w:r>
    </w:p>
    <w:p>
      <w:pPr>
        <w:ind w:firstLine="0" w:firstLineChars="0"/>
      </w:pP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482" w:firstLineChars="0"/>
        <w:jc w:val="left"/>
        <w:textAlignment w:val="auto"/>
        <w:outlineLvl w:val="9"/>
        <w:rPr>
          <w:rFonts w:hint="eastAsia" w:ascii="仿宋" w:hAnsi="仿宋" w:eastAsia="仿宋" w:cs="仿宋"/>
          <w:kern w:val="0"/>
          <w:sz w:val="28"/>
          <w:szCs w:val="28"/>
        </w:rPr>
      </w:pPr>
      <w:r>
        <w:rPr>
          <w:rFonts w:hint="eastAsia" w:ascii="仿宋" w:hAnsi="仿宋" w:eastAsia="仿宋" w:cs="仿宋"/>
          <w:kern w:val="0"/>
          <w:sz w:val="28"/>
          <w:szCs w:val="28"/>
        </w:rPr>
        <w:t>为了预防环境污染突发事故这类突发事件的发生，保证医院和人民群众的环境安全，根据《企业事业单位突发环境事件应急预案备案管理办法（试行）》（环发〔2015〕4号）要求。落实企业环境应急工作，规范提高企业环境污染事件处置能力，有效地预防突发环境污染事故。依据《中华人民共和国突发事件应对法》等有关规定。全面地开展环境污染事故应急预案的编制工作，以便积极地防止环境受到污染和破坏、人民身体健康受到危害、社会经济和人民财产受到损失，造成不良社会影响。特制订《</w:t>
      </w:r>
      <w:r>
        <w:rPr>
          <w:rFonts w:hint="eastAsia" w:ascii="仿宋" w:hAnsi="仿宋" w:eastAsia="仿宋" w:cs="仿宋"/>
          <w:kern w:val="0"/>
          <w:sz w:val="28"/>
          <w:szCs w:val="28"/>
          <w:lang w:val="en-US" w:eastAsia="zh-CN"/>
        </w:rPr>
        <w:t>新疆福克油品股份有限公司</w:t>
      </w:r>
      <w:r>
        <w:rPr>
          <w:rFonts w:hint="eastAsia" w:ascii="仿宋" w:hAnsi="仿宋" w:eastAsia="仿宋" w:cs="仿宋"/>
          <w:kern w:val="0"/>
          <w:sz w:val="28"/>
          <w:szCs w:val="28"/>
        </w:rPr>
        <w:t>突发环境事件应急预案》，已审议通过，现予以公布，自公布之日起施行。</w:t>
      </w:r>
    </w:p>
    <w:p>
      <w:pPr>
        <w:ind w:firstLine="480"/>
        <w:rPr>
          <w:sz w:val="24"/>
        </w:rPr>
      </w:pPr>
    </w:p>
    <w:p>
      <w:pPr>
        <w:pStyle w:val="2"/>
        <w:rPr>
          <w:rFonts w:ascii="Times New Roman" w:hAnsi="Times New Roman" w:cs="Times New Roman"/>
        </w:rPr>
      </w:pPr>
    </w:p>
    <w:p>
      <w:pPr>
        <w:jc w:val="righ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新疆福克油品股份有限公司</w:t>
      </w:r>
    </w:p>
    <w:p>
      <w:pPr>
        <w:jc w:val="right"/>
        <w:rPr>
          <w:rFonts w:hint="eastAsia" w:ascii="仿宋" w:hAnsi="仿宋" w:eastAsia="仿宋" w:cs="仿宋"/>
          <w:sz w:val="28"/>
          <w:szCs w:val="28"/>
          <w:lang w:val="en-US" w:eastAsia="zh-CN"/>
        </w:rPr>
      </w:pPr>
    </w:p>
    <w:p>
      <w:pPr>
        <w:wordWrap w:val="0"/>
        <w:jc w:val="right"/>
        <w:rPr>
          <w:rFonts w:hint="eastAsia" w:ascii="仿宋" w:hAnsi="仿宋" w:eastAsia="仿宋" w:cs="仿宋"/>
          <w:sz w:val="28"/>
          <w:szCs w:val="28"/>
        </w:rPr>
      </w:pPr>
      <w:r>
        <w:rPr>
          <w:rFonts w:hint="eastAsia" w:ascii="仿宋" w:hAnsi="仿宋" w:eastAsia="仿宋" w:cs="仿宋"/>
          <w:sz w:val="28"/>
          <w:szCs w:val="28"/>
          <w:lang w:val="en-US" w:eastAsia="zh-CN"/>
        </w:rPr>
        <w:t>签发</w:t>
      </w:r>
      <w:r>
        <w:rPr>
          <w:rFonts w:hint="eastAsia" w:ascii="仿宋" w:hAnsi="仿宋" w:eastAsia="仿宋" w:cs="仿宋"/>
          <w:sz w:val="28"/>
          <w:szCs w:val="28"/>
        </w:rPr>
        <w:t>人：</w:t>
      </w:r>
      <w:r>
        <w:rPr>
          <w:rFonts w:hint="eastAsia" w:ascii="仿宋" w:hAnsi="仿宋" w:eastAsia="仿宋" w:cs="仿宋"/>
          <w:sz w:val="28"/>
          <w:szCs w:val="28"/>
          <w:lang w:val="en-US" w:eastAsia="zh-CN"/>
        </w:rPr>
        <w:t xml:space="preserve">         </w:t>
      </w:r>
    </w:p>
    <w:p>
      <w:pPr>
        <w:pStyle w:val="2"/>
        <w:spacing w:line="360" w:lineRule="auto"/>
        <w:jc w:val="right"/>
        <w:rPr>
          <w:rFonts w:hint="eastAsia" w:ascii="仿宋" w:hAnsi="仿宋" w:eastAsia="仿宋" w:cs="仿宋"/>
          <w:sz w:val="28"/>
          <w:szCs w:val="28"/>
        </w:rPr>
      </w:pPr>
    </w:p>
    <w:p>
      <w:pPr>
        <w:pStyle w:val="2"/>
        <w:spacing w:line="360" w:lineRule="auto"/>
        <w:jc w:val="right"/>
        <w:rPr>
          <w:rFonts w:hint="eastAsia" w:ascii="仿宋" w:hAnsi="仿宋" w:eastAsia="仿宋" w:cs="仿宋"/>
          <w:sz w:val="28"/>
          <w:szCs w:val="28"/>
        </w:rPr>
      </w:pPr>
      <w:r>
        <w:rPr>
          <w:rFonts w:hint="eastAsia" w:ascii="仿宋" w:hAnsi="仿宋" w:eastAsia="仿宋" w:cs="仿宋"/>
          <w:sz w:val="28"/>
          <w:szCs w:val="28"/>
        </w:rPr>
        <w:t xml:space="preserve">2020年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 xml:space="preserve">月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日</w:t>
      </w:r>
    </w:p>
    <w:p>
      <w:pPr>
        <w:pStyle w:val="2"/>
        <w:rPr>
          <w:rFonts w:ascii="Times New Roman" w:hAnsi="Times New Roman" w:cs="Times New Roman"/>
        </w:rPr>
      </w:pPr>
    </w:p>
    <w:p>
      <w:pPr>
        <w:ind w:firstLine="560"/>
        <w:sectPr>
          <w:pgSz w:w="11911" w:h="16838"/>
          <w:pgMar w:top="1378" w:right="1400" w:bottom="1417" w:left="1417" w:header="850" w:footer="992" w:gutter="0"/>
          <w:pgNumType w:fmt="numberInDash" w:start="1"/>
          <w:cols w:space="720" w:num="1"/>
          <w:docGrid w:linePitch="312" w:charSpace="0"/>
        </w:sectPr>
      </w:pPr>
    </w:p>
    <w:bookmarkEnd w:id="5"/>
    <w:p>
      <w:pPr>
        <w:keepNext w:val="0"/>
        <w:keepLines w:val="0"/>
        <w:pageBreakBefore w:val="0"/>
        <w:widowControl w:val="0"/>
        <w:kinsoku/>
        <w:wordWrap/>
        <w:overflowPunct/>
        <w:topLinePunct w:val="0"/>
        <w:autoSpaceDE/>
        <w:autoSpaceDN/>
        <w:bidi w:val="0"/>
        <w:adjustRightInd/>
        <w:snapToGrid/>
        <w:spacing w:after="156" w:afterLines="50" w:line="240" w:lineRule="auto"/>
        <w:ind w:right="0" w:rightChars="0"/>
        <w:jc w:val="center"/>
        <w:textAlignment w:val="auto"/>
        <w:rPr>
          <w:rFonts w:hint="eastAsia" w:ascii="仿宋" w:hAnsi="仿宋" w:eastAsia="仿宋" w:cs="仿宋"/>
          <w:b/>
          <w:bCs/>
          <w:iCs/>
          <w:sz w:val="28"/>
          <w:szCs w:val="28"/>
          <w:lang w:bidi="en-US"/>
        </w:rPr>
      </w:pPr>
      <w:r>
        <w:rPr>
          <w:rFonts w:hint="eastAsia" w:ascii="仿宋" w:hAnsi="仿宋" w:eastAsia="仿宋" w:cs="仿宋"/>
          <w:b/>
          <w:bCs/>
          <w:iCs/>
          <w:sz w:val="28"/>
          <w:szCs w:val="28"/>
          <w:lang w:bidi="en-US"/>
        </w:rPr>
        <w:t>目</w:t>
      </w:r>
      <w:r>
        <w:rPr>
          <w:rFonts w:hint="eastAsia" w:ascii="仿宋" w:hAnsi="仿宋" w:eastAsia="仿宋" w:cs="仿宋"/>
          <w:b/>
          <w:bCs/>
          <w:iCs/>
          <w:sz w:val="28"/>
          <w:szCs w:val="28"/>
          <w:lang w:val="en-US" w:eastAsia="zh-CN" w:bidi="en-US"/>
        </w:rPr>
        <w:t xml:space="preserve"> </w:t>
      </w:r>
      <w:r>
        <w:rPr>
          <w:rFonts w:hint="eastAsia" w:ascii="仿宋" w:hAnsi="仿宋" w:eastAsia="仿宋" w:cs="仿宋"/>
          <w:b/>
          <w:bCs/>
          <w:iCs/>
          <w:sz w:val="28"/>
          <w:szCs w:val="28"/>
          <w:lang w:bidi="en-US"/>
        </w:rPr>
        <w:t>录</w:t>
      </w:r>
      <w:bookmarkEnd w:id="6"/>
    </w:p>
    <w:p>
      <w:pPr>
        <w:pStyle w:val="23"/>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b w:val="0"/>
          <w:sz w:val="28"/>
          <w:szCs w:val="28"/>
        </w:rPr>
        <w:fldChar w:fldCharType="begin"/>
      </w:r>
      <w:r>
        <w:rPr>
          <w:rFonts w:hint="eastAsia" w:ascii="仿宋" w:hAnsi="仿宋" w:eastAsia="仿宋" w:cs="仿宋"/>
          <w:b w:val="0"/>
          <w:sz w:val="28"/>
          <w:szCs w:val="28"/>
        </w:rPr>
        <w:instrText xml:space="preserve"> TOC \o "1-3" \h \z \u </w:instrText>
      </w:r>
      <w:r>
        <w:rPr>
          <w:rFonts w:hint="eastAsia" w:ascii="仿宋" w:hAnsi="仿宋" w:eastAsia="仿宋" w:cs="仿宋"/>
          <w:b w:val="0"/>
          <w:sz w:val="28"/>
          <w:szCs w:val="28"/>
        </w:rPr>
        <w:fldChar w:fldCharType="separate"/>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_Toc2567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 </w:t>
      </w:r>
      <w:r>
        <w:rPr>
          <w:rFonts w:hint="eastAsia" w:ascii="仿宋" w:hAnsi="仿宋" w:eastAsia="仿宋" w:cs="仿宋"/>
          <w:sz w:val="28"/>
          <w:szCs w:val="28"/>
        </w:rPr>
        <w:t>总则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_Toc2567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_Toc30956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1.1 </w:t>
      </w:r>
      <w:r>
        <w:rPr>
          <w:rFonts w:hint="eastAsia" w:ascii="仿宋" w:hAnsi="仿宋" w:eastAsia="仿宋" w:cs="仿宋"/>
          <w:sz w:val="28"/>
          <w:szCs w:val="28"/>
        </w:rPr>
        <w:t>编制目的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_Toc30956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_Toc19068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1.2 </w:t>
      </w:r>
      <w:r>
        <w:rPr>
          <w:rFonts w:hint="eastAsia" w:ascii="仿宋" w:hAnsi="仿宋" w:eastAsia="仿宋" w:cs="仿宋"/>
          <w:sz w:val="28"/>
          <w:szCs w:val="28"/>
        </w:rPr>
        <w:t>编制依据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_Toc19068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_Toc30787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1.2.1 </w:t>
      </w:r>
      <w:r>
        <w:rPr>
          <w:rFonts w:hint="eastAsia" w:ascii="仿宋" w:hAnsi="仿宋" w:eastAsia="仿宋" w:cs="仿宋"/>
          <w:sz w:val="28"/>
          <w:szCs w:val="28"/>
        </w:rPr>
        <w:t>国家环境保护法律</w:t>
      </w:r>
      <w:r>
        <w:rPr>
          <w:rFonts w:hint="eastAsia" w:ascii="仿宋" w:hAnsi="仿宋" w:eastAsia="仿宋" w:cs="仿宋"/>
          <w:sz w:val="28"/>
          <w:szCs w:val="28"/>
          <w:lang w:eastAsia="zh-CN"/>
        </w:rPr>
        <w:t>、</w:t>
      </w:r>
      <w:r>
        <w:rPr>
          <w:rFonts w:hint="eastAsia" w:ascii="仿宋" w:hAnsi="仿宋" w:eastAsia="仿宋" w:cs="仿宋"/>
          <w:sz w:val="28"/>
          <w:szCs w:val="28"/>
        </w:rPr>
        <w:t>法规及行政规章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_Toc30787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_Toc20472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1.2.2 </w:t>
      </w:r>
      <w:r>
        <w:rPr>
          <w:rFonts w:hint="eastAsia" w:ascii="仿宋" w:hAnsi="仿宋" w:eastAsia="仿宋" w:cs="仿宋"/>
          <w:sz w:val="28"/>
          <w:szCs w:val="28"/>
        </w:rPr>
        <w:t>标准规范</w:t>
      </w:r>
      <w:r>
        <w:rPr>
          <w:rFonts w:hint="eastAsia" w:ascii="仿宋" w:hAnsi="仿宋" w:eastAsia="仿宋" w:cs="仿宋"/>
          <w:sz w:val="28"/>
          <w:szCs w:val="28"/>
          <w:lang w:eastAsia="zh-CN"/>
        </w:rPr>
        <w:t>和行业标准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_Toc20472 </w:instrText>
      </w:r>
      <w:r>
        <w:rPr>
          <w:rFonts w:hint="eastAsia" w:ascii="仿宋" w:hAnsi="仿宋" w:eastAsia="仿宋" w:cs="仿宋"/>
          <w:sz w:val="28"/>
          <w:szCs w:val="28"/>
        </w:rPr>
        <w:fldChar w:fldCharType="separate"/>
      </w:r>
      <w:r>
        <w:rPr>
          <w:rFonts w:hint="eastAsia" w:ascii="仿宋" w:hAnsi="仿宋" w:eastAsia="仿宋" w:cs="仿宋"/>
          <w:sz w:val="28"/>
          <w:szCs w:val="28"/>
        </w:rPr>
        <w:t>- 2 -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_Toc3180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1.2.3 </w:t>
      </w:r>
      <w:r>
        <w:rPr>
          <w:rFonts w:hint="eastAsia" w:ascii="仿宋" w:hAnsi="仿宋" w:eastAsia="仿宋" w:cs="仿宋"/>
          <w:sz w:val="28"/>
          <w:szCs w:val="28"/>
        </w:rPr>
        <w:t>其他文件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_Toc3180 </w:instrText>
      </w:r>
      <w:r>
        <w:rPr>
          <w:rFonts w:hint="eastAsia" w:ascii="仿宋" w:hAnsi="仿宋" w:eastAsia="仿宋" w:cs="仿宋"/>
          <w:sz w:val="28"/>
          <w:szCs w:val="28"/>
        </w:rPr>
        <w:fldChar w:fldCharType="separate"/>
      </w:r>
      <w:r>
        <w:rPr>
          <w:rFonts w:hint="eastAsia" w:ascii="仿宋" w:hAnsi="仿宋" w:eastAsia="仿宋" w:cs="仿宋"/>
          <w:sz w:val="28"/>
          <w:szCs w:val="28"/>
        </w:rPr>
        <w:t>- 3 -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_Toc6218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1.3 </w:t>
      </w:r>
      <w:r>
        <w:rPr>
          <w:rFonts w:hint="eastAsia" w:ascii="仿宋" w:hAnsi="仿宋" w:eastAsia="仿宋" w:cs="仿宋"/>
          <w:sz w:val="28"/>
          <w:szCs w:val="28"/>
          <w:lang w:val="en-US" w:eastAsia="zh-CN"/>
        </w:rPr>
        <w:t>事件分类及</w:t>
      </w:r>
      <w:r>
        <w:rPr>
          <w:rFonts w:hint="eastAsia" w:ascii="仿宋" w:hAnsi="仿宋" w:eastAsia="仿宋" w:cs="仿宋"/>
          <w:sz w:val="28"/>
          <w:szCs w:val="28"/>
        </w:rPr>
        <w:t>事件分级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_Toc6218 </w:instrText>
      </w:r>
      <w:r>
        <w:rPr>
          <w:rFonts w:hint="eastAsia" w:ascii="仿宋" w:hAnsi="仿宋" w:eastAsia="仿宋" w:cs="仿宋"/>
          <w:sz w:val="28"/>
          <w:szCs w:val="28"/>
        </w:rPr>
        <w:fldChar w:fldCharType="separate"/>
      </w:r>
      <w:r>
        <w:rPr>
          <w:rFonts w:hint="eastAsia" w:ascii="仿宋" w:hAnsi="仿宋" w:eastAsia="仿宋" w:cs="仿宋"/>
          <w:sz w:val="28"/>
          <w:szCs w:val="28"/>
        </w:rPr>
        <w:t>- 5 -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_Toc19762 </w:instrText>
      </w:r>
      <w:r>
        <w:rPr>
          <w:rFonts w:hint="eastAsia" w:ascii="仿宋" w:hAnsi="仿宋" w:eastAsia="仿宋" w:cs="仿宋"/>
          <w:sz w:val="28"/>
          <w:szCs w:val="28"/>
        </w:rPr>
        <w:fldChar w:fldCharType="separate"/>
      </w:r>
      <w:r>
        <w:rPr>
          <w:rFonts w:hint="eastAsia" w:ascii="仿宋" w:hAnsi="仿宋" w:eastAsia="仿宋" w:cs="仿宋"/>
          <w:i w:val="0"/>
          <w:sz w:val="28"/>
          <w:szCs w:val="28"/>
          <w:lang w:val="en-US" w:eastAsia="zh-CN"/>
        </w:rPr>
        <w:t xml:space="preserve">1.3.1 </w:t>
      </w:r>
      <w:r>
        <w:rPr>
          <w:rFonts w:hint="eastAsia" w:ascii="仿宋" w:hAnsi="仿宋" w:eastAsia="仿宋" w:cs="仿宋"/>
          <w:sz w:val="28"/>
          <w:szCs w:val="28"/>
          <w:lang w:val="en-US" w:eastAsia="zh-CN"/>
        </w:rPr>
        <w:t>事件分类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_Toc19762 </w:instrText>
      </w:r>
      <w:r>
        <w:rPr>
          <w:rFonts w:hint="eastAsia" w:ascii="仿宋" w:hAnsi="仿宋" w:eastAsia="仿宋" w:cs="仿宋"/>
          <w:sz w:val="28"/>
          <w:szCs w:val="28"/>
        </w:rPr>
        <w:fldChar w:fldCharType="separate"/>
      </w:r>
      <w:r>
        <w:rPr>
          <w:rFonts w:hint="eastAsia" w:ascii="仿宋" w:hAnsi="仿宋" w:eastAsia="仿宋" w:cs="仿宋"/>
          <w:sz w:val="28"/>
          <w:szCs w:val="28"/>
        </w:rPr>
        <w:t>- 5 -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_Toc4190 </w:instrText>
      </w:r>
      <w:r>
        <w:rPr>
          <w:rFonts w:hint="eastAsia" w:ascii="仿宋" w:hAnsi="仿宋" w:eastAsia="仿宋" w:cs="仿宋"/>
          <w:sz w:val="28"/>
          <w:szCs w:val="28"/>
        </w:rPr>
        <w:fldChar w:fldCharType="separate"/>
      </w:r>
      <w:r>
        <w:rPr>
          <w:rFonts w:hint="eastAsia" w:ascii="仿宋" w:hAnsi="仿宋" w:eastAsia="仿宋" w:cs="仿宋"/>
          <w:i w:val="0"/>
          <w:sz w:val="28"/>
          <w:szCs w:val="28"/>
          <w:lang w:val="en-US" w:eastAsia="zh-CN"/>
        </w:rPr>
        <w:t xml:space="preserve">1.3.2 </w:t>
      </w:r>
      <w:r>
        <w:rPr>
          <w:rFonts w:hint="eastAsia" w:ascii="仿宋" w:hAnsi="仿宋" w:eastAsia="仿宋" w:cs="仿宋"/>
          <w:sz w:val="28"/>
          <w:szCs w:val="28"/>
          <w:lang w:val="en-US" w:eastAsia="zh-CN"/>
        </w:rPr>
        <w:t>事件分级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_Toc4190 </w:instrText>
      </w:r>
      <w:r>
        <w:rPr>
          <w:rFonts w:hint="eastAsia" w:ascii="仿宋" w:hAnsi="仿宋" w:eastAsia="仿宋" w:cs="仿宋"/>
          <w:sz w:val="28"/>
          <w:szCs w:val="28"/>
        </w:rPr>
        <w:fldChar w:fldCharType="separate"/>
      </w:r>
      <w:r>
        <w:rPr>
          <w:rFonts w:hint="eastAsia" w:ascii="仿宋" w:hAnsi="仿宋" w:eastAsia="仿宋" w:cs="仿宋"/>
          <w:sz w:val="28"/>
          <w:szCs w:val="28"/>
        </w:rPr>
        <w:t>- 5 -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_Toc7903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1.4 </w:t>
      </w:r>
      <w:r>
        <w:rPr>
          <w:rFonts w:hint="eastAsia" w:ascii="仿宋" w:hAnsi="仿宋" w:eastAsia="仿宋" w:cs="仿宋"/>
          <w:sz w:val="28"/>
          <w:szCs w:val="28"/>
        </w:rPr>
        <w:t>适用范围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_Toc7903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_Toc12861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1.5 </w:t>
      </w:r>
      <w:r>
        <w:rPr>
          <w:rFonts w:hint="eastAsia" w:ascii="仿宋" w:hAnsi="仿宋" w:eastAsia="仿宋" w:cs="仿宋"/>
          <w:sz w:val="28"/>
          <w:szCs w:val="28"/>
        </w:rPr>
        <w:t>工作原则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_Toc12861 </w:instrText>
      </w:r>
      <w:r>
        <w:rPr>
          <w:rFonts w:hint="eastAsia" w:ascii="仿宋" w:hAnsi="仿宋" w:eastAsia="仿宋" w:cs="仿宋"/>
          <w:sz w:val="28"/>
          <w:szCs w:val="28"/>
        </w:rPr>
        <w:fldChar w:fldCharType="separate"/>
      </w:r>
      <w:r>
        <w:rPr>
          <w:rFonts w:hint="eastAsia" w:ascii="仿宋" w:hAnsi="仿宋" w:eastAsia="仿宋" w:cs="仿宋"/>
          <w:sz w:val="28"/>
          <w:szCs w:val="28"/>
        </w:rPr>
        <w:t>- 7 -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_Toc9906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1.6 </w:t>
      </w:r>
      <w:r>
        <w:rPr>
          <w:rFonts w:hint="eastAsia" w:ascii="仿宋" w:hAnsi="仿宋" w:eastAsia="仿宋" w:cs="仿宋"/>
          <w:sz w:val="28"/>
          <w:szCs w:val="28"/>
        </w:rPr>
        <w:t>应急预案关系说明</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_Toc9906 </w:instrText>
      </w:r>
      <w:r>
        <w:rPr>
          <w:rFonts w:hint="eastAsia" w:ascii="仿宋" w:hAnsi="仿宋" w:eastAsia="仿宋" w:cs="仿宋"/>
          <w:sz w:val="28"/>
          <w:szCs w:val="28"/>
        </w:rPr>
        <w:fldChar w:fldCharType="separate"/>
      </w:r>
      <w:r>
        <w:rPr>
          <w:rFonts w:hint="eastAsia" w:ascii="仿宋" w:hAnsi="仿宋" w:eastAsia="仿宋" w:cs="仿宋"/>
          <w:sz w:val="28"/>
          <w:szCs w:val="28"/>
        </w:rPr>
        <w:t>- 8 -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_Toc15387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2 </w:t>
      </w:r>
      <w:r>
        <w:rPr>
          <w:rFonts w:hint="eastAsia" w:ascii="仿宋" w:hAnsi="仿宋" w:eastAsia="仿宋" w:cs="仿宋"/>
          <w:sz w:val="28"/>
          <w:szCs w:val="28"/>
        </w:rPr>
        <w:t>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_Toc15387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_Toc26675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2.1 </w:t>
      </w:r>
      <w:r>
        <w:rPr>
          <w:rFonts w:hint="eastAsia" w:ascii="仿宋" w:hAnsi="仿宋" w:eastAsia="仿宋" w:cs="仿宋"/>
          <w:sz w:val="28"/>
          <w:szCs w:val="28"/>
        </w:rPr>
        <w:t>企业基本情况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_Toc26675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_Toc4319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2.1.1 </w:t>
      </w:r>
      <w:r>
        <w:rPr>
          <w:rFonts w:hint="eastAsia" w:ascii="仿宋" w:hAnsi="仿宋" w:eastAsia="仿宋" w:cs="仿宋"/>
          <w:sz w:val="28"/>
          <w:szCs w:val="28"/>
        </w:rPr>
        <w:t>公司简介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_Toc4319 </w:instrText>
      </w:r>
      <w:r>
        <w:rPr>
          <w:rFonts w:hint="eastAsia" w:ascii="仿宋" w:hAnsi="仿宋" w:eastAsia="仿宋" w:cs="仿宋"/>
          <w:sz w:val="28"/>
          <w:szCs w:val="28"/>
        </w:rPr>
        <w:fldChar w:fldCharType="separate"/>
      </w:r>
      <w:r>
        <w:rPr>
          <w:rFonts w:hint="eastAsia" w:ascii="仿宋" w:hAnsi="仿宋" w:eastAsia="仿宋" w:cs="仿宋"/>
          <w:sz w:val="28"/>
          <w:szCs w:val="28"/>
        </w:rPr>
        <w:t>- 10 -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_Toc31277 </w:instrText>
      </w:r>
      <w:r>
        <w:rPr>
          <w:rFonts w:hint="eastAsia" w:ascii="仿宋" w:hAnsi="仿宋" w:eastAsia="仿宋" w:cs="仿宋"/>
          <w:sz w:val="28"/>
          <w:szCs w:val="28"/>
        </w:rPr>
        <w:fldChar w:fldCharType="separate"/>
      </w:r>
      <w:r>
        <w:rPr>
          <w:rFonts w:hint="eastAsia" w:ascii="仿宋" w:hAnsi="仿宋" w:eastAsia="仿宋" w:cs="仿宋"/>
          <w:i w:val="0"/>
          <w:sz w:val="28"/>
          <w:szCs w:val="28"/>
          <w:lang w:bidi="en-US"/>
        </w:rPr>
        <w:t xml:space="preserve">2.1.2 </w:t>
      </w:r>
      <w:r>
        <w:rPr>
          <w:rFonts w:hint="eastAsia" w:ascii="仿宋" w:hAnsi="仿宋" w:eastAsia="仿宋" w:cs="仿宋"/>
          <w:sz w:val="28"/>
          <w:szCs w:val="28"/>
          <w:lang w:bidi="en-US"/>
        </w:rPr>
        <w:t>生产工艺</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_Toc31277 </w:instrText>
      </w:r>
      <w:r>
        <w:rPr>
          <w:rFonts w:hint="eastAsia" w:ascii="仿宋" w:hAnsi="仿宋" w:eastAsia="仿宋" w:cs="仿宋"/>
          <w:sz w:val="28"/>
          <w:szCs w:val="28"/>
        </w:rPr>
        <w:fldChar w:fldCharType="separate"/>
      </w:r>
      <w:r>
        <w:rPr>
          <w:rFonts w:hint="eastAsia" w:ascii="仿宋" w:hAnsi="仿宋" w:eastAsia="仿宋" w:cs="仿宋"/>
          <w:sz w:val="28"/>
          <w:szCs w:val="28"/>
        </w:rPr>
        <w:t>- 11 -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_Toc5568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2.2 </w:t>
      </w:r>
      <w:r>
        <w:rPr>
          <w:rFonts w:hint="eastAsia" w:ascii="仿宋" w:hAnsi="仿宋" w:eastAsia="仿宋" w:cs="仿宋"/>
          <w:sz w:val="28"/>
          <w:szCs w:val="28"/>
        </w:rPr>
        <w:t>项目所在区域环境情况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_Toc5568 </w:instrText>
      </w:r>
      <w:r>
        <w:rPr>
          <w:rFonts w:hint="eastAsia" w:ascii="仿宋" w:hAnsi="仿宋" w:eastAsia="仿宋" w:cs="仿宋"/>
          <w:sz w:val="28"/>
          <w:szCs w:val="28"/>
        </w:rPr>
        <w:fldChar w:fldCharType="separate"/>
      </w:r>
      <w:r>
        <w:rPr>
          <w:rFonts w:hint="eastAsia" w:ascii="仿宋" w:hAnsi="仿宋" w:eastAsia="仿宋" w:cs="仿宋"/>
          <w:sz w:val="28"/>
          <w:szCs w:val="28"/>
        </w:rPr>
        <w:t>- 15 -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_Toc30790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2.2.1 </w:t>
      </w:r>
      <w:r>
        <w:rPr>
          <w:rFonts w:hint="eastAsia" w:ascii="仿宋" w:hAnsi="仿宋" w:eastAsia="仿宋" w:cs="仿宋"/>
          <w:sz w:val="28"/>
          <w:szCs w:val="28"/>
        </w:rPr>
        <w:t>自然环境概况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_Toc30790 </w:instrText>
      </w:r>
      <w:r>
        <w:rPr>
          <w:rFonts w:hint="eastAsia" w:ascii="仿宋" w:hAnsi="仿宋" w:eastAsia="仿宋" w:cs="仿宋"/>
          <w:sz w:val="28"/>
          <w:szCs w:val="28"/>
        </w:rPr>
        <w:fldChar w:fldCharType="separate"/>
      </w:r>
      <w:r>
        <w:rPr>
          <w:rFonts w:hint="eastAsia" w:ascii="仿宋" w:hAnsi="仿宋" w:eastAsia="仿宋" w:cs="仿宋"/>
          <w:sz w:val="28"/>
          <w:szCs w:val="28"/>
        </w:rPr>
        <w:t>- 15 -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_Toc15849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2.2.2 </w:t>
      </w:r>
      <w:r>
        <w:rPr>
          <w:rFonts w:hint="eastAsia" w:ascii="仿宋" w:hAnsi="仿宋" w:eastAsia="仿宋" w:cs="仿宋"/>
          <w:sz w:val="28"/>
          <w:szCs w:val="28"/>
        </w:rPr>
        <w:t>环境保护目标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_Toc15849 </w:instrText>
      </w:r>
      <w:r>
        <w:rPr>
          <w:rFonts w:hint="eastAsia" w:ascii="仿宋" w:hAnsi="仿宋" w:eastAsia="仿宋" w:cs="仿宋"/>
          <w:sz w:val="28"/>
          <w:szCs w:val="28"/>
        </w:rPr>
        <w:fldChar w:fldCharType="separate"/>
      </w:r>
      <w:r>
        <w:rPr>
          <w:rFonts w:hint="eastAsia" w:ascii="仿宋" w:hAnsi="仿宋" w:eastAsia="仿宋" w:cs="仿宋"/>
          <w:sz w:val="28"/>
          <w:szCs w:val="28"/>
        </w:rPr>
        <w:t>- 18 -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_Toc16018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2.3 </w:t>
      </w:r>
      <w:r>
        <w:rPr>
          <w:rFonts w:hint="eastAsia" w:ascii="仿宋" w:hAnsi="仿宋" w:eastAsia="仿宋" w:cs="仿宋"/>
          <w:sz w:val="28"/>
          <w:szCs w:val="28"/>
        </w:rPr>
        <w:t>污染源分析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_Toc16018 </w:instrText>
      </w:r>
      <w:r>
        <w:rPr>
          <w:rFonts w:hint="eastAsia" w:ascii="仿宋" w:hAnsi="仿宋" w:eastAsia="仿宋" w:cs="仿宋"/>
          <w:sz w:val="28"/>
          <w:szCs w:val="28"/>
        </w:rPr>
        <w:fldChar w:fldCharType="separate"/>
      </w:r>
      <w:r>
        <w:rPr>
          <w:rFonts w:hint="eastAsia" w:ascii="仿宋" w:hAnsi="仿宋" w:eastAsia="仿宋" w:cs="仿宋"/>
          <w:sz w:val="28"/>
          <w:szCs w:val="28"/>
        </w:rPr>
        <w:t>- 18 -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_Toc15440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3 </w:t>
      </w:r>
      <w:r>
        <w:rPr>
          <w:rFonts w:hint="eastAsia" w:ascii="仿宋" w:hAnsi="仿宋" w:eastAsia="仿宋" w:cs="仿宋"/>
          <w:sz w:val="28"/>
          <w:szCs w:val="28"/>
        </w:rPr>
        <w:t>环境风险源及环境风险评价</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_Toc15440 </w:instrText>
      </w:r>
      <w:r>
        <w:rPr>
          <w:rFonts w:hint="eastAsia" w:ascii="仿宋" w:hAnsi="仿宋" w:eastAsia="仿宋" w:cs="仿宋"/>
          <w:sz w:val="28"/>
          <w:szCs w:val="28"/>
        </w:rPr>
        <w:fldChar w:fldCharType="separate"/>
      </w:r>
      <w:r>
        <w:rPr>
          <w:rFonts w:hint="eastAsia" w:ascii="仿宋" w:hAnsi="仿宋" w:eastAsia="仿宋" w:cs="仿宋"/>
          <w:sz w:val="28"/>
          <w:szCs w:val="28"/>
        </w:rPr>
        <w:t>- 20 -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_Toc9882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3.1 </w:t>
      </w:r>
      <w:r>
        <w:rPr>
          <w:rFonts w:hint="eastAsia" w:ascii="仿宋" w:hAnsi="仿宋" w:eastAsia="仿宋" w:cs="仿宋"/>
          <w:sz w:val="28"/>
          <w:szCs w:val="28"/>
        </w:rPr>
        <w:t>环境风险识别</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_Toc9882 </w:instrText>
      </w:r>
      <w:r>
        <w:rPr>
          <w:rFonts w:hint="eastAsia" w:ascii="仿宋" w:hAnsi="仿宋" w:eastAsia="仿宋" w:cs="仿宋"/>
          <w:sz w:val="28"/>
          <w:szCs w:val="28"/>
        </w:rPr>
        <w:fldChar w:fldCharType="separate"/>
      </w:r>
      <w:r>
        <w:rPr>
          <w:rFonts w:hint="eastAsia" w:ascii="仿宋" w:hAnsi="仿宋" w:eastAsia="仿宋" w:cs="仿宋"/>
          <w:sz w:val="28"/>
          <w:szCs w:val="28"/>
        </w:rPr>
        <w:t>- 20 -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_Toc21787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3.2 </w:t>
      </w:r>
      <w:r>
        <w:rPr>
          <w:rFonts w:hint="eastAsia" w:ascii="仿宋" w:hAnsi="仿宋" w:eastAsia="仿宋" w:cs="仿宋"/>
          <w:sz w:val="28"/>
          <w:szCs w:val="28"/>
        </w:rPr>
        <w:t>环境风险源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_Toc21787 </w:instrText>
      </w:r>
      <w:r>
        <w:rPr>
          <w:rFonts w:hint="eastAsia" w:ascii="仿宋" w:hAnsi="仿宋" w:eastAsia="仿宋" w:cs="仿宋"/>
          <w:sz w:val="28"/>
          <w:szCs w:val="28"/>
        </w:rPr>
        <w:fldChar w:fldCharType="separate"/>
      </w:r>
      <w:r>
        <w:rPr>
          <w:rFonts w:hint="eastAsia" w:ascii="仿宋" w:hAnsi="仿宋" w:eastAsia="仿宋" w:cs="仿宋"/>
          <w:sz w:val="28"/>
          <w:szCs w:val="28"/>
        </w:rPr>
        <w:t>- 20 -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_Toc31143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3.3 </w:t>
      </w:r>
      <w:r>
        <w:rPr>
          <w:rFonts w:hint="eastAsia" w:ascii="仿宋" w:hAnsi="仿宋" w:eastAsia="仿宋" w:cs="仿宋"/>
          <w:sz w:val="28"/>
          <w:szCs w:val="28"/>
        </w:rPr>
        <w:t>突发环境事件分级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_Toc31143 </w:instrText>
      </w:r>
      <w:r>
        <w:rPr>
          <w:rFonts w:hint="eastAsia" w:ascii="仿宋" w:hAnsi="仿宋" w:eastAsia="仿宋" w:cs="仿宋"/>
          <w:sz w:val="28"/>
          <w:szCs w:val="28"/>
        </w:rPr>
        <w:fldChar w:fldCharType="separate"/>
      </w:r>
      <w:r>
        <w:rPr>
          <w:rFonts w:hint="eastAsia" w:ascii="仿宋" w:hAnsi="仿宋" w:eastAsia="仿宋" w:cs="仿宋"/>
          <w:sz w:val="28"/>
          <w:szCs w:val="28"/>
        </w:rPr>
        <w:t>- 20 -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_Toc21319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4 </w:t>
      </w:r>
      <w:r>
        <w:rPr>
          <w:rFonts w:hint="eastAsia" w:ascii="仿宋" w:hAnsi="仿宋" w:eastAsia="仿宋" w:cs="仿宋"/>
          <w:sz w:val="28"/>
          <w:szCs w:val="28"/>
        </w:rPr>
        <w:t>应急组织指挥体系与职责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_Toc21319 </w:instrText>
      </w:r>
      <w:r>
        <w:rPr>
          <w:rFonts w:hint="eastAsia" w:ascii="仿宋" w:hAnsi="仿宋" w:eastAsia="仿宋" w:cs="仿宋"/>
          <w:sz w:val="28"/>
          <w:szCs w:val="28"/>
        </w:rPr>
        <w:fldChar w:fldCharType="separate"/>
      </w:r>
      <w:r>
        <w:rPr>
          <w:rFonts w:hint="eastAsia" w:ascii="仿宋" w:hAnsi="仿宋" w:eastAsia="仿宋" w:cs="仿宋"/>
          <w:sz w:val="28"/>
          <w:szCs w:val="28"/>
        </w:rPr>
        <w:t>- 23 -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_Toc10832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4.1 </w:t>
      </w:r>
      <w:r>
        <w:rPr>
          <w:rFonts w:hint="eastAsia" w:ascii="仿宋" w:hAnsi="仿宋" w:eastAsia="仿宋" w:cs="仿宋"/>
          <w:sz w:val="28"/>
          <w:szCs w:val="28"/>
        </w:rPr>
        <w:t>内部应急</w:t>
      </w:r>
      <w:r>
        <w:rPr>
          <w:rFonts w:hint="eastAsia" w:ascii="仿宋" w:hAnsi="仿宋" w:eastAsia="仿宋" w:cs="仿宋"/>
          <w:sz w:val="28"/>
          <w:szCs w:val="28"/>
          <w:lang w:eastAsia="zh-CN"/>
        </w:rPr>
        <w:t>体系</w:t>
      </w:r>
      <w:r>
        <w:rPr>
          <w:rFonts w:hint="eastAsia" w:ascii="仿宋" w:hAnsi="仿宋" w:eastAsia="仿宋" w:cs="仿宋"/>
          <w:sz w:val="28"/>
          <w:szCs w:val="28"/>
        </w:rPr>
        <w:t>与职责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_Toc10832 </w:instrText>
      </w:r>
      <w:r>
        <w:rPr>
          <w:rFonts w:hint="eastAsia" w:ascii="仿宋" w:hAnsi="仿宋" w:eastAsia="仿宋" w:cs="仿宋"/>
          <w:sz w:val="28"/>
          <w:szCs w:val="28"/>
        </w:rPr>
        <w:fldChar w:fldCharType="separate"/>
      </w:r>
      <w:r>
        <w:rPr>
          <w:rFonts w:hint="eastAsia" w:ascii="仿宋" w:hAnsi="仿宋" w:eastAsia="仿宋" w:cs="仿宋"/>
          <w:sz w:val="28"/>
          <w:szCs w:val="28"/>
        </w:rPr>
        <w:t>- 23 -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_Toc27610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4.1.1 </w:t>
      </w:r>
      <w:r>
        <w:rPr>
          <w:rFonts w:hint="eastAsia" w:ascii="仿宋" w:hAnsi="仿宋" w:eastAsia="仿宋" w:cs="仿宋"/>
          <w:sz w:val="28"/>
          <w:szCs w:val="28"/>
        </w:rPr>
        <w:t>指挥机构人员组成</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_Toc27610 </w:instrText>
      </w:r>
      <w:r>
        <w:rPr>
          <w:rFonts w:hint="eastAsia" w:ascii="仿宋" w:hAnsi="仿宋" w:eastAsia="仿宋" w:cs="仿宋"/>
          <w:sz w:val="28"/>
          <w:szCs w:val="28"/>
        </w:rPr>
        <w:fldChar w:fldCharType="separate"/>
      </w:r>
      <w:r>
        <w:rPr>
          <w:rFonts w:hint="eastAsia" w:ascii="仿宋" w:hAnsi="仿宋" w:eastAsia="仿宋" w:cs="仿宋"/>
          <w:sz w:val="28"/>
          <w:szCs w:val="28"/>
        </w:rPr>
        <w:t>- 25 -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_Toc28244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4.1.2 </w:t>
      </w:r>
      <w:r>
        <w:rPr>
          <w:rFonts w:hint="eastAsia" w:ascii="仿宋" w:hAnsi="仿宋" w:eastAsia="仿宋" w:cs="仿宋"/>
          <w:sz w:val="28"/>
          <w:szCs w:val="28"/>
        </w:rPr>
        <w:t>指挥机构组成及分工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_Toc28244 </w:instrText>
      </w:r>
      <w:r>
        <w:rPr>
          <w:rFonts w:hint="eastAsia" w:ascii="仿宋" w:hAnsi="仿宋" w:eastAsia="仿宋" w:cs="仿宋"/>
          <w:sz w:val="28"/>
          <w:szCs w:val="28"/>
        </w:rPr>
        <w:fldChar w:fldCharType="separate"/>
      </w:r>
      <w:r>
        <w:rPr>
          <w:rFonts w:hint="eastAsia" w:ascii="仿宋" w:hAnsi="仿宋" w:eastAsia="仿宋" w:cs="仿宋"/>
          <w:sz w:val="28"/>
          <w:szCs w:val="28"/>
        </w:rPr>
        <w:t>- 25 -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_Toc1891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4.1.3 </w:t>
      </w:r>
      <w:r>
        <w:rPr>
          <w:rFonts w:hint="eastAsia" w:ascii="仿宋" w:hAnsi="仿宋" w:eastAsia="仿宋" w:cs="仿宋"/>
          <w:sz w:val="28"/>
          <w:szCs w:val="28"/>
        </w:rPr>
        <w:t>各小组成员及职责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_Toc1891 </w:instrText>
      </w:r>
      <w:r>
        <w:rPr>
          <w:rFonts w:hint="eastAsia" w:ascii="仿宋" w:hAnsi="仿宋" w:eastAsia="仿宋" w:cs="仿宋"/>
          <w:sz w:val="28"/>
          <w:szCs w:val="28"/>
        </w:rPr>
        <w:fldChar w:fldCharType="separate"/>
      </w:r>
      <w:r>
        <w:rPr>
          <w:rFonts w:hint="eastAsia" w:ascii="仿宋" w:hAnsi="仿宋" w:eastAsia="仿宋" w:cs="仿宋"/>
          <w:sz w:val="28"/>
          <w:szCs w:val="28"/>
        </w:rPr>
        <w:t>- 25 -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_Toc8434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4.2 </w:t>
      </w:r>
      <w:r>
        <w:rPr>
          <w:rFonts w:hint="eastAsia" w:ascii="仿宋" w:hAnsi="仿宋" w:eastAsia="仿宋" w:cs="仿宋"/>
          <w:sz w:val="28"/>
          <w:szCs w:val="28"/>
        </w:rPr>
        <w:t>外部指挥与协调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_Toc8434 </w:instrText>
      </w:r>
      <w:r>
        <w:rPr>
          <w:rFonts w:hint="eastAsia" w:ascii="仿宋" w:hAnsi="仿宋" w:eastAsia="仿宋" w:cs="仿宋"/>
          <w:sz w:val="28"/>
          <w:szCs w:val="28"/>
        </w:rPr>
        <w:fldChar w:fldCharType="separate"/>
      </w:r>
      <w:r>
        <w:rPr>
          <w:rFonts w:hint="eastAsia" w:ascii="仿宋" w:hAnsi="仿宋" w:eastAsia="仿宋" w:cs="仿宋"/>
          <w:sz w:val="28"/>
          <w:szCs w:val="28"/>
        </w:rPr>
        <w:t>- 28 -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_Toc4993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5 </w:t>
      </w:r>
      <w:r>
        <w:rPr>
          <w:rFonts w:hint="eastAsia" w:ascii="仿宋" w:hAnsi="仿宋" w:eastAsia="仿宋" w:cs="仿宋"/>
          <w:sz w:val="28"/>
          <w:szCs w:val="28"/>
        </w:rPr>
        <w:t>预防与预警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_Toc4993 </w:instrText>
      </w:r>
      <w:r>
        <w:rPr>
          <w:rFonts w:hint="eastAsia" w:ascii="仿宋" w:hAnsi="仿宋" w:eastAsia="仿宋" w:cs="仿宋"/>
          <w:sz w:val="28"/>
          <w:szCs w:val="28"/>
        </w:rPr>
        <w:fldChar w:fldCharType="separate"/>
      </w:r>
      <w:r>
        <w:rPr>
          <w:rFonts w:hint="eastAsia" w:ascii="仿宋" w:hAnsi="仿宋" w:eastAsia="仿宋" w:cs="仿宋"/>
          <w:sz w:val="28"/>
          <w:szCs w:val="28"/>
        </w:rPr>
        <w:t>- 31 -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_Toc30165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5.1 </w:t>
      </w:r>
      <w:r>
        <w:rPr>
          <w:rFonts w:hint="eastAsia" w:ascii="仿宋" w:hAnsi="仿宋" w:eastAsia="仿宋" w:cs="仿宋"/>
          <w:sz w:val="28"/>
          <w:szCs w:val="28"/>
        </w:rPr>
        <w:t>环境风险源监控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_Toc30165 </w:instrText>
      </w:r>
      <w:r>
        <w:rPr>
          <w:rFonts w:hint="eastAsia" w:ascii="仿宋" w:hAnsi="仿宋" w:eastAsia="仿宋" w:cs="仿宋"/>
          <w:sz w:val="28"/>
          <w:szCs w:val="28"/>
        </w:rPr>
        <w:fldChar w:fldCharType="separate"/>
      </w:r>
      <w:r>
        <w:rPr>
          <w:rFonts w:hint="eastAsia" w:ascii="仿宋" w:hAnsi="仿宋" w:eastAsia="仿宋" w:cs="仿宋"/>
          <w:sz w:val="28"/>
          <w:szCs w:val="28"/>
        </w:rPr>
        <w:t>- 31 -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_Toc31173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5.2 </w:t>
      </w:r>
      <w:r>
        <w:rPr>
          <w:rFonts w:hint="eastAsia" w:ascii="仿宋" w:hAnsi="仿宋" w:eastAsia="仿宋" w:cs="仿宋"/>
          <w:sz w:val="28"/>
          <w:szCs w:val="28"/>
          <w:lang w:val="en-US" w:eastAsia="zh-CN"/>
        </w:rPr>
        <w:t>环境风险防范措施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_Toc31173 </w:instrText>
      </w:r>
      <w:r>
        <w:rPr>
          <w:rFonts w:hint="eastAsia" w:ascii="仿宋" w:hAnsi="仿宋" w:eastAsia="仿宋" w:cs="仿宋"/>
          <w:sz w:val="28"/>
          <w:szCs w:val="28"/>
        </w:rPr>
        <w:fldChar w:fldCharType="separate"/>
      </w:r>
      <w:r>
        <w:rPr>
          <w:rFonts w:hint="eastAsia" w:ascii="仿宋" w:hAnsi="仿宋" w:eastAsia="仿宋" w:cs="仿宋"/>
          <w:sz w:val="28"/>
          <w:szCs w:val="28"/>
        </w:rPr>
        <w:t>- 31 -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_Toc8802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5.3 </w:t>
      </w:r>
      <w:r>
        <w:rPr>
          <w:rFonts w:hint="eastAsia" w:ascii="仿宋" w:hAnsi="仿宋" w:eastAsia="仿宋" w:cs="仿宋"/>
          <w:sz w:val="28"/>
          <w:szCs w:val="28"/>
        </w:rPr>
        <w:t>预警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_Toc8802 </w:instrText>
      </w:r>
      <w:r>
        <w:rPr>
          <w:rFonts w:hint="eastAsia" w:ascii="仿宋" w:hAnsi="仿宋" w:eastAsia="仿宋" w:cs="仿宋"/>
          <w:sz w:val="28"/>
          <w:szCs w:val="28"/>
        </w:rPr>
        <w:fldChar w:fldCharType="separate"/>
      </w:r>
      <w:r>
        <w:rPr>
          <w:rFonts w:hint="eastAsia" w:ascii="仿宋" w:hAnsi="仿宋" w:eastAsia="仿宋" w:cs="仿宋"/>
          <w:sz w:val="28"/>
          <w:szCs w:val="28"/>
        </w:rPr>
        <w:t>- 32 -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_Toc11187 </w:instrText>
      </w:r>
      <w:r>
        <w:rPr>
          <w:rFonts w:hint="eastAsia" w:ascii="仿宋" w:hAnsi="仿宋" w:eastAsia="仿宋" w:cs="仿宋"/>
          <w:sz w:val="28"/>
          <w:szCs w:val="28"/>
        </w:rPr>
        <w:fldChar w:fldCharType="separate"/>
      </w:r>
      <w:r>
        <w:rPr>
          <w:rFonts w:hint="eastAsia" w:ascii="仿宋" w:hAnsi="仿宋" w:eastAsia="仿宋" w:cs="仿宋"/>
          <w:i w:val="0"/>
          <w:sz w:val="28"/>
          <w:szCs w:val="28"/>
          <w:lang w:val="en-US" w:eastAsia="zh-CN"/>
        </w:rPr>
        <w:t xml:space="preserve">5.3.1 </w:t>
      </w:r>
      <w:r>
        <w:rPr>
          <w:rFonts w:hint="eastAsia" w:ascii="仿宋" w:hAnsi="仿宋" w:eastAsia="仿宋" w:cs="仿宋"/>
          <w:sz w:val="28"/>
          <w:szCs w:val="28"/>
          <w:lang w:val="en-US" w:eastAsia="zh-CN"/>
        </w:rPr>
        <w:t>接警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_Toc11187 </w:instrText>
      </w:r>
      <w:r>
        <w:rPr>
          <w:rFonts w:hint="eastAsia" w:ascii="仿宋" w:hAnsi="仿宋" w:eastAsia="仿宋" w:cs="仿宋"/>
          <w:sz w:val="28"/>
          <w:szCs w:val="28"/>
        </w:rPr>
        <w:fldChar w:fldCharType="separate"/>
      </w:r>
      <w:r>
        <w:rPr>
          <w:rFonts w:hint="eastAsia" w:ascii="仿宋" w:hAnsi="仿宋" w:eastAsia="仿宋" w:cs="仿宋"/>
          <w:sz w:val="28"/>
          <w:szCs w:val="28"/>
        </w:rPr>
        <w:t>- 32 -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_Toc25848 </w:instrText>
      </w:r>
      <w:r>
        <w:rPr>
          <w:rFonts w:hint="eastAsia" w:ascii="仿宋" w:hAnsi="仿宋" w:eastAsia="仿宋" w:cs="仿宋"/>
          <w:sz w:val="28"/>
          <w:szCs w:val="28"/>
        </w:rPr>
        <w:fldChar w:fldCharType="separate"/>
      </w:r>
      <w:r>
        <w:rPr>
          <w:rFonts w:hint="eastAsia" w:ascii="仿宋" w:hAnsi="仿宋" w:eastAsia="仿宋" w:cs="仿宋"/>
          <w:i w:val="0"/>
          <w:sz w:val="28"/>
          <w:szCs w:val="28"/>
          <w:lang w:val="en-US" w:eastAsia="zh-CN"/>
        </w:rPr>
        <w:t xml:space="preserve">5.3.2 </w:t>
      </w:r>
      <w:r>
        <w:rPr>
          <w:rFonts w:hint="eastAsia" w:ascii="仿宋" w:hAnsi="仿宋" w:eastAsia="仿宋" w:cs="仿宋"/>
          <w:sz w:val="28"/>
          <w:szCs w:val="28"/>
          <w:lang w:val="en-US" w:eastAsia="zh-CN"/>
        </w:rPr>
        <w:t>预警分级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_Toc25848 </w:instrText>
      </w:r>
      <w:r>
        <w:rPr>
          <w:rFonts w:hint="eastAsia" w:ascii="仿宋" w:hAnsi="仿宋" w:eastAsia="仿宋" w:cs="仿宋"/>
          <w:sz w:val="28"/>
          <w:szCs w:val="28"/>
        </w:rPr>
        <w:fldChar w:fldCharType="separate"/>
      </w:r>
      <w:r>
        <w:rPr>
          <w:rFonts w:hint="eastAsia" w:ascii="仿宋" w:hAnsi="仿宋" w:eastAsia="仿宋" w:cs="仿宋"/>
          <w:sz w:val="28"/>
          <w:szCs w:val="28"/>
        </w:rPr>
        <w:t>- 32 -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_Toc23920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5.3.3 </w:t>
      </w:r>
      <w:r>
        <w:rPr>
          <w:rFonts w:hint="eastAsia" w:ascii="仿宋" w:hAnsi="仿宋" w:eastAsia="仿宋" w:cs="仿宋"/>
          <w:sz w:val="28"/>
          <w:szCs w:val="28"/>
        </w:rPr>
        <w:t>预警条件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_Toc23920 </w:instrText>
      </w:r>
      <w:r>
        <w:rPr>
          <w:rFonts w:hint="eastAsia" w:ascii="仿宋" w:hAnsi="仿宋" w:eastAsia="仿宋" w:cs="仿宋"/>
          <w:sz w:val="28"/>
          <w:szCs w:val="28"/>
        </w:rPr>
        <w:fldChar w:fldCharType="separate"/>
      </w:r>
      <w:r>
        <w:rPr>
          <w:rFonts w:hint="eastAsia" w:ascii="仿宋" w:hAnsi="仿宋" w:eastAsia="仿宋" w:cs="仿宋"/>
          <w:sz w:val="28"/>
          <w:szCs w:val="28"/>
        </w:rPr>
        <w:t>- 32 -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_Toc23393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5.3.4 </w:t>
      </w:r>
      <w:r>
        <w:rPr>
          <w:rFonts w:hint="eastAsia" w:ascii="仿宋" w:hAnsi="仿宋" w:eastAsia="仿宋" w:cs="仿宋"/>
          <w:sz w:val="28"/>
          <w:szCs w:val="28"/>
        </w:rPr>
        <w:t>预警信息发布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_Toc23393 </w:instrText>
      </w:r>
      <w:r>
        <w:rPr>
          <w:rFonts w:hint="eastAsia" w:ascii="仿宋" w:hAnsi="仿宋" w:eastAsia="仿宋" w:cs="仿宋"/>
          <w:sz w:val="28"/>
          <w:szCs w:val="28"/>
        </w:rPr>
        <w:fldChar w:fldCharType="separate"/>
      </w:r>
      <w:r>
        <w:rPr>
          <w:rFonts w:hint="eastAsia" w:ascii="仿宋" w:hAnsi="仿宋" w:eastAsia="仿宋" w:cs="仿宋"/>
          <w:sz w:val="28"/>
          <w:szCs w:val="28"/>
        </w:rPr>
        <w:t>- 33 -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_Toc28400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5.3.5 </w:t>
      </w:r>
      <w:r>
        <w:rPr>
          <w:rFonts w:hint="eastAsia" w:ascii="仿宋" w:hAnsi="仿宋" w:eastAsia="仿宋" w:cs="仿宋"/>
          <w:sz w:val="28"/>
          <w:szCs w:val="28"/>
          <w:lang w:val="en-US" w:eastAsia="zh-CN"/>
        </w:rPr>
        <w:t>预警措施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_Toc28400 </w:instrText>
      </w:r>
      <w:r>
        <w:rPr>
          <w:rFonts w:hint="eastAsia" w:ascii="仿宋" w:hAnsi="仿宋" w:eastAsia="仿宋" w:cs="仿宋"/>
          <w:sz w:val="28"/>
          <w:szCs w:val="28"/>
        </w:rPr>
        <w:fldChar w:fldCharType="separate"/>
      </w:r>
      <w:r>
        <w:rPr>
          <w:rFonts w:hint="eastAsia" w:ascii="仿宋" w:hAnsi="仿宋" w:eastAsia="仿宋" w:cs="仿宋"/>
          <w:sz w:val="28"/>
          <w:szCs w:val="28"/>
        </w:rPr>
        <w:t>- 34 -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_Toc461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5.3.6 </w:t>
      </w:r>
      <w:r>
        <w:rPr>
          <w:rFonts w:hint="eastAsia" w:ascii="仿宋" w:hAnsi="仿宋" w:eastAsia="仿宋" w:cs="仿宋"/>
          <w:sz w:val="28"/>
          <w:szCs w:val="28"/>
        </w:rPr>
        <w:t>预警解除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_Toc461 </w:instrText>
      </w:r>
      <w:r>
        <w:rPr>
          <w:rFonts w:hint="eastAsia" w:ascii="仿宋" w:hAnsi="仿宋" w:eastAsia="仿宋" w:cs="仿宋"/>
          <w:sz w:val="28"/>
          <w:szCs w:val="28"/>
        </w:rPr>
        <w:fldChar w:fldCharType="separate"/>
      </w:r>
      <w:r>
        <w:rPr>
          <w:rFonts w:hint="eastAsia" w:ascii="仿宋" w:hAnsi="仿宋" w:eastAsia="仿宋" w:cs="仿宋"/>
          <w:sz w:val="28"/>
          <w:szCs w:val="28"/>
        </w:rPr>
        <w:t>- 34 -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_Toc16263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5.4 </w:t>
      </w:r>
      <w:r>
        <w:rPr>
          <w:rFonts w:hint="eastAsia" w:ascii="仿宋" w:hAnsi="仿宋" w:eastAsia="仿宋" w:cs="仿宋"/>
          <w:sz w:val="28"/>
          <w:szCs w:val="28"/>
        </w:rPr>
        <w:t>信息报告与通报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_Toc16263 </w:instrText>
      </w:r>
      <w:r>
        <w:rPr>
          <w:rFonts w:hint="eastAsia" w:ascii="仿宋" w:hAnsi="仿宋" w:eastAsia="仿宋" w:cs="仿宋"/>
          <w:sz w:val="28"/>
          <w:szCs w:val="28"/>
        </w:rPr>
        <w:fldChar w:fldCharType="separate"/>
      </w:r>
      <w:r>
        <w:rPr>
          <w:rFonts w:hint="eastAsia" w:ascii="仿宋" w:hAnsi="仿宋" w:eastAsia="仿宋" w:cs="仿宋"/>
          <w:sz w:val="28"/>
          <w:szCs w:val="28"/>
        </w:rPr>
        <w:t>- 34 -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_Toc18075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5.4.1 </w:t>
      </w:r>
      <w:r>
        <w:rPr>
          <w:rFonts w:hint="eastAsia" w:ascii="仿宋" w:hAnsi="仿宋" w:eastAsia="仿宋" w:cs="仿宋"/>
          <w:sz w:val="28"/>
          <w:szCs w:val="28"/>
        </w:rPr>
        <w:t>内部报告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_Toc18075 </w:instrText>
      </w:r>
      <w:r>
        <w:rPr>
          <w:rFonts w:hint="eastAsia" w:ascii="仿宋" w:hAnsi="仿宋" w:eastAsia="仿宋" w:cs="仿宋"/>
          <w:sz w:val="28"/>
          <w:szCs w:val="28"/>
        </w:rPr>
        <w:fldChar w:fldCharType="separate"/>
      </w:r>
      <w:r>
        <w:rPr>
          <w:rFonts w:hint="eastAsia" w:ascii="仿宋" w:hAnsi="仿宋" w:eastAsia="仿宋" w:cs="仿宋"/>
          <w:sz w:val="28"/>
          <w:szCs w:val="28"/>
        </w:rPr>
        <w:t>- 34 -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_Toc18181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5.4.2 </w:t>
      </w:r>
      <w:r>
        <w:rPr>
          <w:rFonts w:hint="eastAsia" w:ascii="仿宋" w:hAnsi="仿宋" w:eastAsia="仿宋" w:cs="仿宋"/>
          <w:sz w:val="28"/>
          <w:szCs w:val="28"/>
        </w:rPr>
        <w:t>信息上报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_Toc18181 </w:instrText>
      </w:r>
      <w:r>
        <w:rPr>
          <w:rFonts w:hint="eastAsia" w:ascii="仿宋" w:hAnsi="仿宋" w:eastAsia="仿宋" w:cs="仿宋"/>
          <w:sz w:val="28"/>
          <w:szCs w:val="28"/>
        </w:rPr>
        <w:fldChar w:fldCharType="separate"/>
      </w:r>
      <w:r>
        <w:rPr>
          <w:rFonts w:hint="eastAsia" w:ascii="仿宋" w:hAnsi="仿宋" w:eastAsia="仿宋" w:cs="仿宋"/>
          <w:sz w:val="28"/>
          <w:szCs w:val="28"/>
        </w:rPr>
        <w:t>- 35 -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_Toc16770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5.4.3 </w:t>
      </w:r>
      <w:r>
        <w:rPr>
          <w:rFonts w:hint="eastAsia" w:ascii="仿宋" w:hAnsi="仿宋" w:eastAsia="仿宋" w:cs="仿宋"/>
          <w:sz w:val="28"/>
          <w:szCs w:val="28"/>
        </w:rPr>
        <w:t>信息通报</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_Toc16770 </w:instrText>
      </w:r>
      <w:r>
        <w:rPr>
          <w:rFonts w:hint="eastAsia" w:ascii="仿宋" w:hAnsi="仿宋" w:eastAsia="仿宋" w:cs="仿宋"/>
          <w:sz w:val="28"/>
          <w:szCs w:val="28"/>
        </w:rPr>
        <w:fldChar w:fldCharType="separate"/>
      </w:r>
      <w:r>
        <w:rPr>
          <w:rFonts w:hint="eastAsia" w:ascii="仿宋" w:hAnsi="仿宋" w:eastAsia="仿宋" w:cs="仿宋"/>
          <w:sz w:val="28"/>
          <w:szCs w:val="28"/>
        </w:rPr>
        <w:t>- 36 -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_Toc26831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5.4.4 </w:t>
      </w:r>
      <w:r>
        <w:rPr>
          <w:rFonts w:hint="eastAsia" w:ascii="仿宋" w:hAnsi="仿宋" w:eastAsia="仿宋" w:cs="仿宋"/>
          <w:sz w:val="28"/>
          <w:szCs w:val="28"/>
        </w:rPr>
        <w:t>事件报告内容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_Toc26831 </w:instrText>
      </w:r>
      <w:r>
        <w:rPr>
          <w:rFonts w:hint="eastAsia" w:ascii="仿宋" w:hAnsi="仿宋" w:eastAsia="仿宋" w:cs="仿宋"/>
          <w:sz w:val="28"/>
          <w:szCs w:val="28"/>
        </w:rPr>
        <w:fldChar w:fldCharType="separate"/>
      </w:r>
      <w:r>
        <w:rPr>
          <w:rFonts w:hint="eastAsia" w:ascii="仿宋" w:hAnsi="仿宋" w:eastAsia="仿宋" w:cs="仿宋"/>
          <w:sz w:val="28"/>
          <w:szCs w:val="28"/>
        </w:rPr>
        <w:t>- 36 -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_Toc20686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6 </w:t>
      </w:r>
      <w:r>
        <w:rPr>
          <w:rFonts w:hint="eastAsia" w:ascii="仿宋" w:hAnsi="仿宋" w:eastAsia="仿宋" w:cs="仿宋"/>
          <w:sz w:val="28"/>
          <w:szCs w:val="28"/>
        </w:rPr>
        <w:t>应急响应与措施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_Toc20686 </w:instrText>
      </w:r>
      <w:r>
        <w:rPr>
          <w:rFonts w:hint="eastAsia" w:ascii="仿宋" w:hAnsi="仿宋" w:eastAsia="仿宋" w:cs="仿宋"/>
          <w:sz w:val="28"/>
          <w:szCs w:val="28"/>
        </w:rPr>
        <w:fldChar w:fldCharType="separate"/>
      </w:r>
      <w:r>
        <w:rPr>
          <w:rFonts w:hint="eastAsia" w:ascii="仿宋" w:hAnsi="仿宋" w:eastAsia="仿宋" w:cs="仿宋"/>
          <w:sz w:val="28"/>
          <w:szCs w:val="28"/>
        </w:rPr>
        <w:t>- 38 -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_Toc22668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6.1 </w:t>
      </w:r>
      <w:r>
        <w:rPr>
          <w:rFonts w:hint="eastAsia" w:ascii="仿宋" w:hAnsi="仿宋" w:eastAsia="仿宋" w:cs="仿宋"/>
          <w:sz w:val="28"/>
          <w:szCs w:val="28"/>
        </w:rPr>
        <w:t>分级响应机制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_Toc22668 </w:instrText>
      </w:r>
      <w:r>
        <w:rPr>
          <w:rFonts w:hint="eastAsia" w:ascii="仿宋" w:hAnsi="仿宋" w:eastAsia="仿宋" w:cs="仿宋"/>
          <w:sz w:val="28"/>
          <w:szCs w:val="28"/>
        </w:rPr>
        <w:fldChar w:fldCharType="separate"/>
      </w:r>
      <w:r>
        <w:rPr>
          <w:rFonts w:hint="eastAsia" w:ascii="仿宋" w:hAnsi="仿宋" w:eastAsia="仿宋" w:cs="仿宋"/>
          <w:sz w:val="28"/>
          <w:szCs w:val="28"/>
        </w:rPr>
        <w:t>- 38 -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_Toc13782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6.2 </w:t>
      </w:r>
      <w:r>
        <w:rPr>
          <w:rFonts w:hint="eastAsia" w:ascii="仿宋" w:hAnsi="仿宋" w:eastAsia="仿宋" w:cs="仿宋"/>
          <w:sz w:val="28"/>
          <w:szCs w:val="28"/>
        </w:rPr>
        <w:t>应急措施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_Toc13782 </w:instrText>
      </w:r>
      <w:r>
        <w:rPr>
          <w:rFonts w:hint="eastAsia" w:ascii="仿宋" w:hAnsi="仿宋" w:eastAsia="仿宋" w:cs="仿宋"/>
          <w:sz w:val="28"/>
          <w:szCs w:val="28"/>
        </w:rPr>
        <w:fldChar w:fldCharType="separate"/>
      </w:r>
      <w:r>
        <w:rPr>
          <w:rFonts w:hint="eastAsia" w:ascii="仿宋" w:hAnsi="仿宋" w:eastAsia="仿宋" w:cs="仿宋"/>
          <w:sz w:val="28"/>
          <w:szCs w:val="28"/>
        </w:rPr>
        <w:t>- 40 -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_Toc25945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6.2.1 </w:t>
      </w:r>
      <w:r>
        <w:rPr>
          <w:rFonts w:hint="eastAsia" w:ascii="仿宋" w:hAnsi="仿宋" w:eastAsia="仿宋" w:cs="仿宋"/>
          <w:sz w:val="28"/>
          <w:szCs w:val="28"/>
        </w:rPr>
        <w:t>突发环境事件现场应急措施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_Toc25945 </w:instrText>
      </w:r>
      <w:r>
        <w:rPr>
          <w:rFonts w:hint="eastAsia" w:ascii="仿宋" w:hAnsi="仿宋" w:eastAsia="仿宋" w:cs="仿宋"/>
          <w:sz w:val="28"/>
          <w:szCs w:val="28"/>
        </w:rPr>
        <w:fldChar w:fldCharType="separate"/>
      </w:r>
      <w:r>
        <w:rPr>
          <w:rFonts w:hint="eastAsia" w:ascii="仿宋" w:hAnsi="仿宋" w:eastAsia="仿宋" w:cs="仿宋"/>
          <w:sz w:val="28"/>
          <w:szCs w:val="28"/>
        </w:rPr>
        <w:t>- 40 -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_Toc20952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6.2.2 </w:t>
      </w:r>
      <w:r>
        <w:rPr>
          <w:rFonts w:hint="eastAsia" w:ascii="仿宋" w:hAnsi="仿宋" w:eastAsia="仿宋" w:cs="仿宋"/>
          <w:sz w:val="28"/>
          <w:szCs w:val="28"/>
        </w:rPr>
        <w:t>启动应急响应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_Toc20952 </w:instrText>
      </w:r>
      <w:r>
        <w:rPr>
          <w:rFonts w:hint="eastAsia" w:ascii="仿宋" w:hAnsi="仿宋" w:eastAsia="仿宋" w:cs="仿宋"/>
          <w:sz w:val="28"/>
          <w:szCs w:val="28"/>
        </w:rPr>
        <w:fldChar w:fldCharType="separate"/>
      </w:r>
      <w:r>
        <w:rPr>
          <w:rFonts w:hint="eastAsia" w:ascii="仿宋" w:hAnsi="仿宋" w:eastAsia="仿宋" w:cs="仿宋"/>
          <w:sz w:val="28"/>
          <w:szCs w:val="28"/>
        </w:rPr>
        <w:t>- 44 -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_Toc26546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6.3 </w:t>
      </w:r>
      <w:r>
        <w:rPr>
          <w:rFonts w:hint="eastAsia" w:ascii="仿宋" w:hAnsi="仿宋" w:eastAsia="仿宋" w:cs="仿宋"/>
          <w:sz w:val="28"/>
          <w:szCs w:val="28"/>
        </w:rPr>
        <w:t>应急处置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_Toc26546 </w:instrText>
      </w:r>
      <w:r>
        <w:rPr>
          <w:rFonts w:hint="eastAsia" w:ascii="仿宋" w:hAnsi="仿宋" w:eastAsia="仿宋" w:cs="仿宋"/>
          <w:sz w:val="28"/>
          <w:szCs w:val="28"/>
        </w:rPr>
        <w:fldChar w:fldCharType="separate"/>
      </w:r>
      <w:r>
        <w:rPr>
          <w:rFonts w:hint="eastAsia" w:ascii="仿宋" w:hAnsi="仿宋" w:eastAsia="仿宋" w:cs="仿宋"/>
          <w:sz w:val="28"/>
          <w:szCs w:val="28"/>
        </w:rPr>
        <w:t>- 44 -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_Toc28369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6.3.1 </w:t>
      </w:r>
      <w:r>
        <w:rPr>
          <w:rFonts w:hint="eastAsia" w:ascii="仿宋" w:hAnsi="仿宋" w:eastAsia="仿宋" w:cs="仿宋"/>
          <w:sz w:val="28"/>
          <w:szCs w:val="28"/>
        </w:rPr>
        <w:t>明确应急救援队伍的调度及物资保障供应程序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_Toc28369 </w:instrText>
      </w:r>
      <w:r>
        <w:rPr>
          <w:rFonts w:hint="eastAsia" w:ascii="仿宋" w:hAnsi="仿宋" w:eastAsia="仿宋" w:cs="仿宋"/>
          <w:sz w:val="28"/>
          <w:szCs w:val="28"/>
        </w:rPr>
        <w:fldChar w:fldCharType="separate"/>
      </w:r>
      <w:r>
        <w:rPr>
          <w:rFonts w:hint="eastAsia" w:ascii="仿宋" w:hAnsi="仿宋" w:eastAsia="仿宋" w:cs="仿宋"/>
          <w:sz w:val="28"/>
          <w:szCs w:val="28"/>
        </w:rPr>
        <w:t>- 47 -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_Toc12130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6.3.2 </w:t>
      </w:r>
      <w:r>
        <w:rPr>
          <w:rFonts w:hint="eastAsia" w:ascii="仿宋" w:hAnsi="仿宋" w:eastAsia="仿宋" w:cs="仿宋"/>
          <w:sz w:val="28"/>
          <w:szCs w:val="28"/>
        </w:rPr>
        <w:t>现场污染处置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_Toc12130 </w:instrText>
      </w:r>
      <w:r>
        <w:rPr>
          <w:rFonts w:hint="eastAsia" w:ascii="仿宋" w:hAnsi="仿宋" w:eastAsia="仿宋" w:cs="仿宋"/>
          <w:sz w:val="28"/>
          <w:szCs w:val="28"/>
        </w:rPr>
        <w:fldChar w:fldCharType="separate"/>
      </w:r>
      <w:r>
        <w:rPr>
          <w:rFonts w:hint="eastAsia" w:ascii="仿宋" w:hAnsi="仿宋" w:eastAsia="仿宋" w:cs="仿宋"/>
          <w:sz w:val="28"/>
          <w:szCs w:val="28"/>
        </w:rPr>
        <w:t>- 47 -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_Toc7189 </w:instrText>
      </w:r>
      <w:r>
        <w:rPr>
          <w:rFonts w:hint="eastAsia" w:ascii="仿宋" w:hAnsi="仿宋" w:eastAsia="仿宋" w:cs="仿宋"/>
          <w:sz w:val="28"/>
          <w:szCs w:val="28"/>
        </w:rPr>
        <w:fldChar w:fldCharType="separate"/>
      </w:r>
      <w:r>
        <w:rPr>
          <w:rFonts w:hint="eastAsia" w:ascii="仿宋" w:hAnsi="仿宋" w:eastAsia="仿宋" w:cs="仿宋"/>
          <w:bCs/>
          <w:i w:val="0"/>
          <w:iCs/>
          <w:kern w:val="2"/>
          <w:sz w:val="28"/>
          <w:szCs w:val="28"/>
          <w:lang w:val="en-US" w:eastAsia="zh-CN" w:bidi="en-US"/>
        </w:rPr>
        <w:t xml:space="preserve">6.4 </w:t>
      </w:r>
      <w:r>
        <w:rPr>
          <w:rFonts w:hint="eastAsia" w:ascii="仿宋" w:hAnsi="仿宋" w:eastAsia="仿宋" w:cs="仿宋"/>
          <w:sz w:val="28"/>
          <w:szCs w:val="28"/>
          <w:lang w:val="en-US" w:eastAsia="zh-CN"/>
        </w:rPr>
        <w:t>关键岗位应急处置卡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_Toc7189 </w:instrText>
      </w:r>
      <w:r>
        <w:rPr>
          <w:rFonts w:hint="eastAsia" w:ascii="仿宋" w:hAnsi="仿宋" w:eastAsia="仿宋" w:cs="仿宋"/>
          <w:sz w:val="28"/>
          <w:szCs w:val="28"/>
        </w:rPr>
        <w:fldChar w:fldCharType="separate"/>
      </w:r>
      <w:r>
        <w:rPr>
          <w:rFonts w:hint="eastAsia" w:ascii="仿宋" w:hAnsi="仿宋" w:eastAsia="仿宋" w:cs="仿宋"/>
          <w:sz w:val="28"/>
          <w:szCs w:val="28"/>
        </w:rPr>
        <w:t>- 48 -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_Toc31293 </w:instrText>
      </w:r>
      <w:r>
        <w:rPr>
          <w:rFonts w:hint="eastAsia" w:ascii="仿宋" w:hAnsi="仿宋" w:eastAsia="仿宋" w:cs="仿宋"/>
          <w:sz w:val="28"/>
          <w:szCs w:val="28"/>
        </w:rPr>
        <w:fldChar w:fldCharType="separate"/>
      </w:r>
      <w:r>
        <w:rPr>
          <w:rFonts w:hint="eastAsia" w:ascii="仿宋" w:hAnsi="仿宋" w:eastAsia="仿宋" w:cs="仿宋"/>
          <w:bCs/>
          <w:i w:val="0"/>
          <w:iCs/>
          <w:kern w:val="2"/>
          <w:sz w:val="28"/>
          <w:szCs w:val="28"/>
          <w:lang w:val="en-US" w:eastAsia="zh-CN" w:bidi="en-US"/>
        </w:rPr>
        <w:t xml:space="preserve">6.4.1 </w:t>
      </w:r>
      <w:r>
        <w:rPr>
          <w:rFonts w:hint="eastAsia" w:ascii="仿宋" w:hAnsi="仿宋" w:eastAsia="仿宋" w:cs="仿宋"/>
          <w:sz w:val="28"/>
          <w:szCs w:val="28"/>
          <w:lang w:val="en-US" w:eastAsia="zh-CN"/>
        </w:rPr>
        <w:t>负责人应急处置卡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_Toc31293 </w:instrText>
      </w:r>
      <w:r>
        <w:rPr>
          <w:rFonts w:hint="eastAsia" w:ascii="仿宋" w:hAnsi="仿宋" w:eastAsia="仿宋" w:cs="仿宋"/>
          <w:sz w:val="28"/>
          <w:szCs w:val="28"/>
        </w:rPr>
        <w:fldChar w:fldCharType="separate"/>
      </w:r>
      <w:r>
        <w:rPr>
          <w:rFonts w:hint="eastAsia" w:ascii="仿宋" w:hAnsi="仿宋" w:eastAsia="仿宋" w:cs="仿宋"/>
          <w:sz w:val="28"/>
          <w:szCs w:val="28"/>
        </w:rPr>
        <w:t>- 48 -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_Toc9394 </w:instrText>
      </w:r>
      <w:r>
        <w:rPr>
          <w:rFonts w:hint="eastAsia" w:ascii="仿宋" w:hAnsi="仿宋" w:eastAsia="仿宋" w:cs="仿宋"/>
          <w:sz w:val="28"/>
          <w:szCs w:val="28"/>
        </w:rPr>
        <w:fldChar w:fldCharType="separate"/>
      </w:r>
      <w:r>
        <w:rPr>
          <w:rFonts w:hint="eastAsia" w:ascii="仿宋" w:hAnsi="仿宋" w:eastAsia="仿宋" w:cs="仿宋"/>
          <w:i w:val="0"/>
          <w:sz w:val="28"/>
          <w:szCs w:val="28"/>
          <w:lang w:val="en-US" w:eastAsia="zh-CN"/>
        </w:rPr>
        <w:t xml:space="preserve">6.4.2 </w:t>
      </w:r>
      <w:r>
        <w:rPr>
          <w:rFonts w:hint="eastAsia" w:ascii="仿宋" w:hAnsi="仿宋" w:eastAsia="仿宋" w:cs="仿宋"/>
          <w:sz w:val="28"/>
          <w:szCs w:val="28"/>
          <w:lang w:val="en-US" w:eastAsia="zh-CN"/>
        </w:rPr>
        <w:t>抢险救援负责人应急处置卡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_Toc9394 </w:instrText>
      </w:r>
      <w:r>
        <w:rPr>
          <w:rFonts w:hint="eastAsia" w:ascii="仿宋" w:hAnsi="仿宋" w:eastAsia="仿宋" w:cs="仿宋"/>
          <w:sz w:val="28"/>
          <w:szCs w:val="28"/>
        </w:rPr>
        <w:fldChar w:fldCharType="separate"/>
      </w:r>
      <w:r>
        <w:rPr>
          <w:rFonts w:hint="eastAsia" w:ascii="仿宋" w:hAnsi="仿宋" w:eastAsia="仿宋" w:cs="仿宋"/>
          <w:sz w:val="28"/>
          <w:szCs w:val="28"/>
        </w:rPr>
        <w:t>- 48 -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_Toc375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6.5 </w:t>
      </w:r>
      <w:r>
        <w:rPr>
          <w:rFonts w:hint="eastAsia" w:ascii="仿宋" w:hAnsi="仿宋" w:eastAsia="仿宋" w:cs="仿宋"/>
          <w:sz w:val="28"/>
          <w:szCs w:val="28"/>
        </w:rPr>
        <w:t>转移安置人员</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_Toc375 </w:instrText>
      </w:r>
      <w:r>
        <w:rPr>
          <w:rFonts w:hint="eastAsia" w:ascii="仿宋" w:hAnsi="仿宋" w:eastAsia="仿宋" w:cs="仿宋"/>
          <w:sz w:val="28"/>
          <w:szCs w:val="28"/>
        </w:rPr>
        <w:fldChar w:fldCharType="separate"/>
      </w:r>
      <w:r>
        <w:rPr>
          <w:rFonts w:hint="eastAsia" w:ascii="仿宋" w:hAnsi="仿宋" w:eastAsia="仿宋" w:cs="仿宋"/>
          <w:sz w:val="28"/>
          <w:szCs w:val="28"/>
        </w:rPr>
        <w:t>- 49 -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_Toc5607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6.6 </w:t>
      </w:r>
      <w:r>
        <w:rPr>
          <w:rFonts w:hint="eastAsia" w:ascii="仿宋" w:hAnsi="仿宋" w:eastAsia="仿宋" w:cs="仿宋"/>
          <w:sz w:val="28"/>
          <w:szCs w:val="28"/>
        </w:rPr>
        <w:t>信息发布和舆论引导</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_Toc5607 </w:instrText>
      </w:r>
      <w:r>
        <w:rPr>
          <w:rFonts w:hint="eastAsia" w:ascii="仿宋" w:hAnsi="仿宋" w:eastAsia="仿宋" w:cs="仿宋"/>
          <w:sz w:val="28"/>
          <w:szCs w:val="28"/>
        </w:rPr>
        <w:fldChar w:fldCharType="separate"/>
      </w:r>
      <w:r>
        <w:rPr>
          <w:rFonts w:hint="eastAsia" w:ascii="仿宋" w:hAnsi="仿宋" w:eastAsia="仿宋" w:cs="仿宋"/>
          <w:sz w:val="28"/>
          <w:szCs w:val="28"/>
        </w:rPr>
        <w:t>- 49 -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_Toc23245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6.7 </w:t>
      </w:r>
      <w:r>
        <w:rPr>
          <w:rFonts w:hint="eastAsia" w:ascii="仿宋" w:hAnsi="仿宋" w:eastAsia="仿宋" w:cs="仿宋"/>
          <w:sz w:val="28"/>
          <w:szCs w:val="28"/>
        </w:rPr>
        <w:t>配合有关部门应急响应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_Toc23245 </w:instrText>
      </w:r>
      <w:r>
        <w:rPr>
          <w:rFonts w:hint="eastAsia" w:ascii="仿宋" w:hAnsi="仿宋" w:eastAsia="仿宋" w:cs="仿宋"/>
          <w:sz w:val="28"/>
          <w:szCs w:val="28"/>
        </w:rPr>
        <w:fldChar w:fldCharType="separate"/>
      </w:r>
      <w:r>
        <w:rPr>
          <w:rFonts w:hint="eastAsia" w:ascii="仿宋" w:hAnsi="仿宋" w:eastAsia="仿宋" w:cs="仿宋"/>
          <w:sz w:val="28"/>
          <w:szCs w:val="28"/>
        </w:rPr>
        <w:t>- 49 -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_Toc15914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7 </w:t>
      </w:r>
      <w:r>
        <w:rPr>
          <w:rFonts w:hint="eastAsia" w:ascii="仿宋" w:hAnsi="仿宋" w:eastAsia="仿宋" w:cs="仿宋"/>
          <w:sz w:val="28"/>
          <w:szCs w:val="28"/>
        </w:rPr>
        <w:t>应急监测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_Toc15914 </w:instrText>
      </w:r>
      <w:r>
        <w:rPr>
          <w:rFonts w:hint="eastAsia" w:ascii="仿宋" w:hAnsi="仿宋" w:eastAsia="仿宋" w:cs="仿宋"/>
          <w:sz w:val="28"/>
          <w:szCs w:val="28"/>
        </w:rPr>
        <w:fldChar w:fldCharType="separate"/>
      </w:r>
      <w:r>
        <w:rPr>
          <w:rFonts w:hint="eastAsia" w:ascii="仿宋" w:hAnsi="仿宋" w:eastAsia="仿宋" w:cs="仿宋"/>
          <w:sz w:val="28"/>
          <w:szCs w:val="28"/>
        </w:rPr>
        <w:t>- 51 -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_Toc5085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7.1 </w:t>
      </w:r>
      <w:r>
        <w:rPr>
          <w:rFonts w:hint="eastAsia" w:ascii="仿宋" w:hAnsi="仿宋" w:eastAsia="仿宋" w:cs="仿宋"/>
          <w:sz w:val="28"/>
          <w:szCs w:val="28"/>
          <w:lang w:eastAsia="zh-CN"/>
        </w:rPr>
        <w:t>应急监测内容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_Toc5085 </w:instrText>
      </w:r>
      <w:r>
        <w:rPr>
          <w:rFonts w:hint="eastAsia" w:ascii="仿宋" w:hAnsi="仿宋" w:eastAsia="仿宋" w:cs="仿宋"/>
          <w:sz w:val="28"/>
          <w:szCs w:val="28"/>
        </w:rPr>
        <w:fldChar w:fldCharType="separate"/>
      </w:r>
      <w:r>
        <w:rPr>
          <w:rFonts w:hint="eastAsia" w:ascii="仿宋" w:hAnsi="仿宋" w:eastAsia="仿宋" w:cs="仿宋"/>
          <w:sz w:val="28"/>
          <w:szCs w:val="28"/>
        </w:rPr>
        <w:t>- 52 -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_Toc4502 </w:instrText>
      </w:r>
      <w:r>
        <w:rPr>
          <w:rFonts w:hint="eastAsia" w:ascii="仿宋" w:hAnsi="仿宋" w:eastAsia="仿宋" w:cs="仿宋"/>
          <w:sz w:val="28"/>
          <w:szCs w:val="28"/>
        </w:rPr>
        <w:fldChar w:fldCharType="separate"/>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_Toc4502 </w:instrText>
      </w:r>
      <w:r>
        <w:rPr>
          <w:rFonts w:hint="eastAsia" w:ascii="仿宋" w:hAnsi="仿宋" w:eastAsia="仿宋" w:cs="仿宋"/>
          <w:sz w:val="28"/>
          <w:szCs w:val="28"/>
        </w:rPr>
        <w:fldChar w:fldCharType="separate"/>
      </w:r>
      <w:r>
        <w:rPr>
          <w:rFonts w:hint="eastAsia" w:ascii="仿宋" w:hAnsi="仿宋" w:eastAsia="仿宋" w:cs="仿宋"/>
          <w:sz w:val="28"/>
          <w:szCs w:val="28"/>
        </w:rPr>
        <w:t>- 55 -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_Toc24929 </w:instrText>
      </w:r>
      <w:r>
        <w:rPr>
          <w:rFonts w:hint="eastAsia" w:ascii="仿宋" w:hAnsi="仿宋" w:eastAsia="仿宋" w:cs="仿宋"/>
          <w:sz w:val="28"/>
          <w:szCs w:val="28"/>
        </w:rPr>
        <w:fldChar w:fldCharType="separate"/>
      </w:r>
      <w:r>
        <w:rPr>
          <w:rFonts w:hint="eastAsia" w:ascii="仿宋" w:hAnsi="仿宋" w:eastAsia="仿宋" w:cs="仿宋"/>
          <w:i w:val="0"/>
          <w:sz w:val="28"/>
          <w:szCs w:val="28"/>
          <w:lang w:eastAsia="zh-CN"/>
        </w:rPr>
        <w:t xml:space="preserve">7.2 </w:t>
      </w:r>
      <w:r>
        <w:rPr>
          <w:rFonts w:hint="eastAsia" w:ascii="仿宋" w:hAnsi="仿宋" w:eastAsia="仿宋" w:cs="仿宋"/>
          <w:sz w:val="28"/>
          <w:szCs w:val="28"/>
          <w:lang w:eastAsia="zh-CN"/>
        </w:rPr>
        <w:t>监测数据的报告和发布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_Toc24929 </w:instrText>
      </w:r>
      <w:r>
        <w:rPr>
          <w:rFonts w:hint="eastAsia" w:ascii="仿宋" w:hAnsi="仿宋" w:eastAsia="仿宋" w:cs="仿宋"/>
          <w:sz w:val="28"/>
          <w:szCs w:val="28"/>
        </w:rPr>
        <w:fldChar w:fldCharType="separate"/>
      </w:r>
      <w:r>
        <w:rPr>
          <w:rFonts w:hint="eastAsia" w:ascii="仿宋" w:hAnsi="仿宋" w:eastAsia="仿宋" w:cs="仿宋"/>
          <w:sz w:val="28"/>
          <w:szCs w:val="28"/>
        </w:rPr>
        <w:t>- 55 -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_Toc1735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8 </w:t>
      </w:r>
      <w:r>
        <w:rPr>
          <w:rFonts w:hint="eastAsia" w:ascii="仿宋" w:hAnsi="仿宋" w:eastAsia="仿宋" w:cs="仿宋"/>
          <w:sz w:val="28"/>
          <w:szCs w:val="28"/>
        </w:rPr>
        <w:t>应急终止</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_Toc1735 </w:instrText>
      </w:r>
      <w:r>
        <w:rPr>
          <w:rFonts w:hint="eastAsia" w:ascii="仿宋" w:hAnsi="仿宋" w:eastAsia="仿宋" w:cs="仿宋"/>
          <w:sz w:val="28"/>
          <w:szCs w:val="28"/>
        </w:rPr>
        <w:fldChar w:fldCharType="separate"/>
      </w:r>
      <w:r>
        <w:rPr>
          <w:rFonts w:hint="eastAsia" w:ascii="仿宋" w:hAnsi="仿宋" w:eastAsia="仿宋" w:cs="仿宋"/>
          <w:sz w:val="28"/>
          <w:szCs w:val="28"/>
        </w:rPr>
        <w:t>- 57 -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_Toc18735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8.1 </w:t>
      </w:r>
      <w:r>
        <w:rPr>
          <w:rFonts w:hint="eastAsia" w:ascii="仿宋" w:hAnsi="仿宋" w:eastAsia="仿宋" w:cs="仿宋"/>
          <w:sz w:val="28"/>
          <w:szCs w:val="28"/>
        </w:rPr>
        <w:t>应急终止的条件</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_Toc18735 </w:instrText>
      </w:r>
      <w:r>
        <w:rPr>
          <w:rFonts w:hint="eastAsia" w:ascii="仿宋" w:hAnsi="仿宋" w:eastAsia="仿宋" w:cs="仿宋"/>
          <w:sz w:val="28"/>
          <w:szCs w:val="28"/>
        </w:rPr>
        <w:fldChar w:fldCharType="separate"/>
      </w:r>
      <w:r>
        <w:rPr>
          <w:rFonts w:hint="eastAsia" w:ascii="仿宋" w:hAnsi="仿宋" w:eastAsia="仿宋" w:cs="仿宋"/>
          <w:sz w:val="28"/>
          <w:szCs w:val="28"/>
        </w:rPr>
        <w:t>- 57 -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_Toc22363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8.2 </w:t>
      </w:r>
      <w:r>
        <w:rPr>
          <w:rFonts w:hint="eastAsia" w:ascii="仿宋" w:hAnsi="仿宋" w:eastAsia="仿宋" w:cs="仿宋"/>
          <w:sz w:val="28"/>
          <w:szCs w:val="28"/>
        </w:rPr>
        <w:t>应急终止的程序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_Toc22363 </w:instrText>
      </w:r>
      <w:r>
        <w:rPr>
          <w:rFonts w:hint="eastAsia" w:ascii="仿宋" w:hAnsi="仿宋" w:eastAsia="仿宋" w:cs="仿宋"/>
          <w:sz w:val="28"/>
          <w:szCs w:val="28"/>
        </w:rPr>
        <w:fldChar w:fldCharType="separate"/>
      </w:r>
      <w:r>
        <w:rPr>
          <w:rFonts w:hint="eastAsia" w:ascii="仿宋" w:hAnsi="仿宋" w:eastAsia="仿宋" w:cs="仿宋"/>
          <w:sz w:val="28"/>
          <w:szCs w:val="28"/>
        </w:rPr>
        <w:t>- 57 -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_Toc9502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8.3 </w:t>
      </w:r>
      <w:r>
        <w:rPr>
          <w:rFonts w:hint="eastAsia" w:ascii="仿宋" w:hAnsi="仿宋" w:eastAsia="仿宋" w:cs="仿宋"/>
          <w:sz w:val="28"/>
          <w:szCs w:val="28"/>
        </w:rPr>
        <w:t>应急终止后环境监测</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_Toc9502 </w:instrText>
      </w:r>
      <w:r>
        <w:rPr>
          <w:rFonts w:hint="eastAsia" w:ascii="仿宋" w:hAnsi="仿宋" w:eastAsia="仿宋" w:cs="仿宋"/>
          <w:sz w:val="28"/>
          <w:szCs w:val="28"/>
        </w:rPr>
        <w:fldChar w:fldCharType="separate"/>
      </w:r>
      <w:r>
        <w:rPr>
          <w:rFonts w:hint="eastAsia" w:ascii="仿宋" w:hAnsi="仿宋" w:eastAsia="仿宋" w:cs="仿宋"/>
          <w:sz w:val="28"/>
          <w:szCs w:val="28"/>
        </w:rPr>
        <w:t>- 57 -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_Toc10675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8.4 </w:t>
      </w:r>
      <w:r>
        <w:rPr>
          <w:rFonts w:hint="eastAsia" w:ascii="仿宋" w:hAnsi="仿宋" w:eastAsia="仿宋" w:cs="仿宋"/>
          <w:sz w:val="28"/>
          <w:szCs w:val="28"/>
        </w:rPr>
        <w:t>应急终止后的行动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_Toc10675 </w:instrText>
      </w:r>
      <w:r>
        <w:rPr>
          <w:rFonts w:hint="eastAsia" w:ascii="仿宋" w:hAnsi="仿宋" w:eastAsia="仿宋" w:cs="仿宋"/>
          <w:sz w:val="28"/>
          <w:szCs w:val="28"/>
        </w:rPr>
        <w:fldChar w:fldCharType="separate"/>
      </w:r>
      <w:r>
        <w:rPr>
          <w:rFonts w:hint="eastAsia" w:ascii="仿宋" w:hAnsi="仿宋" w:eastAsia="仿宋" w:cs="仿宋"/>
          <w:sz w:val="28"/>
          <w:szCs w:val="28"/>
        </w:rPr>
        <w:t>- 57 -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_Toc3657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9 </w:t>
      </w:r>
      <w:r>
        <w:rPr>
          <w:rFonts w:hint="eastAsia" w:ascii="仿宋" w:hAnsi="仿宋" w:eastAsia="仿宋" w:cs="仿宋"/>
          <w:sz w:val="28"/>
          <w:szCs w:val="28"/>
        </w:rPr>
        <w:t>后期处置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_Toc3657 </w:instrText>
      </w:r>
      <w:r>
        <w:rPr>
          <w:rFonts w:hint="eastAsia" w:ascii="仿宋" w:hAnsi="仿宋" w:eastAsia="仿宋" w:cs="仿宋"/>
          <w:sz w:val="28"/>
          <w:szCs w:val="28"/>
        </w:rPr>
        <w:fldChar w:fldCharType="separate"/>
      </w:r>
      <w:r>
        <w:rPr>
          <w:rFonts w:hint="eastAsia" w:ascii="仿宋" w:hAnsi="仿宋" w:eastAsia="仿宋" w:cs="仿宋"/>
          <w:sz w:val="28"/>
          <w:szCs w:val="28"/>
        </w:rPr>
        <w:t>- 59 -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_Toc5559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9.1 </w:t>
      </w:r>
      <w:r>
        <w:rPr>
          <w:rFonts w:hint="eastAsia" w:ascii="仿宋" w:hAnsi="仿宋" w:eastAsia="仿宋" w:cs="仿宋"/>
          <w:sz w:val="28"/>
          <w:szCs w:val="28"/>
        </w:rPr>
        <w:t>善后处理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_Toc5559 </w:instrText>
      </w:r>
      <w:r>
        <w:rPr>
          <w:rFonts w:hint="eastAsia" w:ascii="仿宋" w:hAnsi="仿宋" w:eastAsia="仿宋" w:cs="仿宋"/>
          <w:sz w:val="28"/>
          <w:szCs w:val="28"/>
        </w:rPr>
        <w:fldChar w:fldCharType="separate"/>
      </w:r>
      <w:r>
        <w:rPr>
          <w:rFonts w:hint="eastAsia" w:ascii="仿宋" w:hAnsi="仿宋" w:eastAsia="仿宋" w:cs="仿宋"/>
          <w:sz w:val="28"/>
          <w:szCs w:val="28"/>
        </w:rPr>
        <w:t>- 59 -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_Toc31564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9.2 </w:t>
      </w:r>
      <w:r>
        <w:rPr>
          <w:rFonts w:hint="eastAsia" w:ascii="仿宋" w:hAnsi="仿宋" w:eastAsia="仿宋" w:cs="仿宋"/>
          <w:sz w:val="28"/>
          <w:szCs w:val="28"/>
        </w:rPr>
        <w:t>生产秩序恢复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_Toc31564 </w:instrText>
      </w:r>
      <w:r>
        <w:rPr>
          <w:rFonts w:hint="eastAsia" w:ascii="仿宋" w:hAnsi="仿宋" w:eastAsia="仿宋" w:cs="仿宋"/>
          <w:sz w:val="28"/>
          <w:szCs w:val="28"/>
        </w:rPr>
        <w:fldChar w:fldCharType="separate"/>
      </w:r>
      <w:r>
        <w:rPr>
          <w:rFonts w:hint="eastAsia" w:ascii="仿宋" w:hAnsi="仿宋" w:eastAsia="仿宋" w:cs="仿宋"/>
          <w:sz w:val="28"/>
          <w:szCs w:val="28"/>
        </w:rPr>
        <w:t>- 59 -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_Toc17566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9.3 </w:t>
      </w:r>
      <w:r>
        <w:rPr>
          <w:rFonts w:hint="eastAsia" w:ascii="仿宋" w:hAnsi="仿宋" w:eastAsia="仿宋" w:cs="仿宋"/>
          <w:sz w:val="28"/>
          <w:szCs w:val="28"/>
        </w:rPr>
        <w:t>清洁净化</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_Toc17566 </w:instrText>
      </w:r>
      <w:r>
        <w:rPr>
          <w:rFonts w:hint="eastAsia" w:ascii="仿宋" w:hAnsi="仿宋" w:eastAsia="仿宋" w:cs="仿宋"/>
          <w:sz w:val="28"/>
          <w:szCs w:val="28"/>
        </w:rPr>
        <w:fldChar w:fldCharType="separate"/>
      </w:r>
      <w:r>
        <w:rPr>
          <w:rFonts w:hint="eastAsia" w:ascii="仿宋" w:hAnsi="仿宋" w:eastAsia="仿宋" w:cs="仿宋"/>
          <w:sz w:val="28"/>
          <w:szCs w:val="28"/>
        </w:rPr>
        <w:t>- 59 -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_Toc29029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9.4 </w:t>
      </w:r>
      <w:r>
        <w:rPr>
          <w:rFonts w:hint="eastAsia" w:ascii="仿宋" w:hAnsi="仿宋" w:eastAsia="仿宋" w:cs="仿宋"/>
          <w:sz w:val="28"/>
          <w:szCs w:val="28"/>
        </w:rPr>
        <w:t>环境恢复</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_Toc29029 </w:instrText>
      </w:r>
      <w:r>
        <w:rPr>
          <w:rFonts w:hint="eastAsia" w:ascii="仿宋" w:hAnsi="仿宋" w:eastAsia="仿宋" w:cs="仿宋"/>
          <w:sz w:val="28"/>
          <w:szCs w:val="28"/>
        </w:rPr>
        <w:fldChar w:fldCharType="separate"/>
      </w:r>
      <w:r>
        <w:rPr>
          <w:rFonts w:hint="eastAsia" w:ascii="仿宋" w:hAnsi="仿宋" w:eastAsia="仿宋" w:cs="仿宋"/>
          <w:sz w:val="28"/>
          <w:szCs w:val="28"/>
        </w:rPr>
        <w:t>- 60 -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_Toc11273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9.5 </w:t>
      </w:r>
      <w:r>
        <w:rPr>
          <w:rFonts w:hint="eastAsia" w:ascii="仿宋" w:hAnsi="仿宋" w:eastAsia="仿宋" w:cs="仿宋"/>
          <w:sz w:val="28"/>
          <w:szCs w:val="28"/>
        </w:rPr>
        <w:t>评估与总结</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_Toc11273 </w:instrText>
      </w:r>
      <w:r>
        <w:rPr>
          <w:rFonts w:hint="eastAsia" w:ascii="仿宋" w:hAnsi="仿宋" w:eastAsia="仿宋" w:cs="仿宋"/>
          <w:sz w:val="28"/>
          <w:szCs w:val="28"/>
        </w:rPr>
        <w:fldChar w:fldCharType="separate"/>
      </w:r>
      <w:r>
        <w:rPr>
          <w:rFonts w:hint="eastAsia" w:ascii="仿宋" w:hAnsi="仿宋" w:eastAsia="仿宋" w:cs="仿宋"/>
          <w:sz w:val="28"/>
          <w:szCs w:val="28"/>
        </w:rPr>
        <w:t>- 60 -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_Toc26530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9.6 </w:t>
      </w:r>
      <w:r>
        <w:rPr>
          <w:rFonts w:hint="eastAsia" w:ascii="仿宋" w:hAnsi="仿宋" w:eastAsia="仿宋" w:cs="仿宋"/>
          <w:sz w:val="28"/>
          <w:szCs w:val="28"/>
        </w:rPr>
        <w:t>保险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_Toc26530 </w:instrText>
      </w:r>
      <w:r>
        <w:rPr>
          <w:rFonts w:hint="eastAsia" w:ascii="仿宋" w:hAnsi="仿宋" w:eastAsia="仿宋" w:cs="仿宋"/>
          <w:sz w:val="28"/>
          <w:szCs w:val="28"/>
        </w:rPr>
        <w:fldChar w:fldCharType="separate"/>
      </w:r>
      <w:r>
        <w:rPr>
          <w:rFonts w:hint="eastAsia" w:ascii="仿宋" w:hAnsi="仿宋" w:eastAsia="仿宋" w:cs="仿宋"/>
          <w:sz w:val="28"/>
          <w:szCs w:val="28"/>
        </w:rPr>
        <w:t>- 60 -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_Toc9977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10 </w:t>
      </w:r>
      <w:r>
        <w:rPr>
          <w:rFonts w:hint="eastAsia" w:ascii="仿宋" w:hAnsi="仿宋" w:eastAsia="仿宋" w:cs="仿宋"/>
          <w:sz w:val="28"/>
          <w:szCs w:val="28"/>
        </w:rPr>
        <w:t>预案管理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_Toc9977 </w:instrText>
      </w:r>
      <w:r>
        <w:rPr>
          <w:rFonts w:hint="eastAsia" w:ascii="仿宋" w:hAnsi="仿宋" w:eastAsia="仿宋" w:cs="仿宋"/>
          <w:sz w:val="28"/>
          <w:szCs w:val="28"/>
        </w:rPr>
        <w:fldChar w:fldCharType="separate"/>
      </w:r>
      <w:r>
        <w:rPr>
          <w:rFonts w:hint="eastAsia" w:ascii="仿宋" w:hAnsi="仿宋" w:eastAsia="仿宋" w:cs="仿宋"/>
          <w:sz w:val="28"/>
          <w:szCs w:val="28"/>
        </w:rPr>
        <w:t>- 61 -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_Toc13444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10.1 </w:t>
      </w:r>
      <w:r>
        <w:rPr>
          <w:rFonts w:hint="eastAsia" w:ascii="仿宋" w:hAnsi="仿宋" w:eastAsia="仿宋" w:cs="仿宋"/>
          <w:sz w:val="28"/>
          <w:szCs w:val="28"/>
        </w:rPr>
        <w:t>宣教培训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_Toc13444 </w:instrText>
      </w:r>
      <w:r>
        <w:rPr>
          <w:rFonts w:hint="eastAsia" w:ascii="仿宋" w:hAnsi="仿宋" w:eastAsia="仿宋" w:cs="仿宋"/>
          <w:sz w:val="28"/>
          <w:szCs w:val="28"/>
        </w:rPr>
        <w:fldChar w:fldCharType="separate"/>
      </w:r>
      <w:r>
        <w:rPr>
          <w:rFonts w:hint="eastAsia" w:ascii="仿宋" w:hAnsi="仿宋" w:eastAsia="仿宋" w:cs="仿宋"/>
          <w:sz w:val="28"/>
          <w:szCs w:val="28"/>
        </w:rPr>
        <w:t>- 61 -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_Toc864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10.1.1 </w:t>
      </w:r>
      <w:r>
        <w:rPr>
          <w:rFonts w:hint="eastAsia" w:ascii="仿宋" w:hAnsi="仿宋" w:eastAsia="仿宋" w:cs="仿宋"/>
          <w:sz w:val="28"/>
          <w:szCs w:val="28"/>
        </w:rPr>
        <w:t>应急救援人员的专业培训内容和方法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_Toc864 </w:instrText>
      </w:r>
      <w:r>
        <w:rPr>
          <w:rFonts w:hint="eastAsia" w:ascii="仿宋" w:hAnsi="仿宋" w:eastAsia="仿宋" w:cs="仿宋"/>
          <w:sz w:val="28"/>
          <w:szCs w:val="28"/>
        </w:rPr>
        <w:fldChar w:fldCharType="separate"/>
      </w:r>
      <w:r>
        <w:rPr>
          <w:rFonts w:hint="eastAsia" w:ascii="仿宋" w:hAnsi="仿宋" w:eastAsia="仿宋" w:cs="仿宋"/>
          <w:sz w:val="28"/>
          <w:szCs w:val="28"/>
        </w:rPr>
        <w:t>- 61 -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_Toc25027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10.1.2 </w:t>
      </w:r>
      <w:r>
        <w:rPr>
          <w:rFonts w:hint="eastAsia" w:ascii="仿宋" w:hAnsi="仿宋" w:eastAsia="仿宋" w:cs="仿宋"/>
          <w:sz w:val="28"/>
          <w:szCs w:val="28"/>
        </w:rPr>
        <w:t>应急指挥人员、监测人员、运输司机等特别培训内容和方法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_Toc25027 </w:instrText>
      </w:r>
      <w:r>
        <w:rPr>
          <w:rFonts w:hint="eastAsia" w:ascii="仿宋" w:hAnsi="仿宋" w:eastAsia="仿宋" w:cs="仿宋"/>
          <w:sz w:val="28"/>
          <w:szCs w:val="28"/>
        </w:rPr>
        <w:fldChar w:fldCharType="separate"/>
      </w:r>
      <w:r>
        <w:rPr>
          <w:rFonts w:hint="eastAsia" w:ascii="仿宋" w:hAnsi="仿宋" w:eastAsia="仿宋" w:cs="仿宋"/>
          <w:sz w:val="28"/>
          <w:szCs w:val="28"/>
        </w:rPr>
        <w:t>- 61 -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_Toc4453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10.1.3 </w:t>
      </w:r>
      <w:r>
        <w:rPr>
          <w:rFonts w:hint="eastAsia" w:ascii="仿宋" w:hAnsi="仿宋" w:eastAsia="仿宋" w:cs="仿宋"/>
          <w:sz w:val="28"/>
          <w:szCs w:val="28"/>
        </w:rPr>
        <w:t>员工应急知识培训内容和方法</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_Toc4453 </w:instrText>
      </w:r>
      <w:r>
        <w:rPr>
          <w:rFonts w:hint="eastAsia" w:ascii="仿宋" w:hAnsi="仿宋" w:eastAsia="仿宋" w:cs="仿宋"/>
          <w:sz w:val="28"/>
          <w:szCs w:val="28"/>
        </w:rPr>
        <w:fldChar w:fldCharType="separate"/>
      </w:r>
      <w:r>
        <w:rPr>
          <w:rFonts w:hint="eastAsia" w:ascii="仿宋" w:hAnsi="仿宋" w:eastAsia="仿宋" w:cs="仿宋"/>
          <w:sz w:val="28"/>
          <w:szCs w:val="28"/>
        </w:rPr>
        <w:t>- 62 -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_Toc24336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10.1.4 </w:t>
      </w:r>
      <w:r>
        <w:rPr>
          <w:rFonts w:hint="eastAsia" w:ascii="仿宋" w:hAnsi="仿宋" w:eastAsia="仿宋" w:cs="仿宋"/>
          <w:sz w:val="28"/>
          <w:szCs w:val="28"/>
        </w:rPr>
        <w:t>社区或周边人员应急响应知识的宣传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_Toc24336 </w:instrText>
      </w:r>
      <w:r>
        <w:rPr>
          <w:rFonts w:hint="eastAsia" w:ascii="仿宋" w:hAnsi="仿宋" w:eastAsia="仿宋" w:cs="仿宋"/>
          <w:sz w:val="28"/>
          <w:szCs w:val="28"/>
        </w:rPr>
        <w:fldChar w:fldCharType="separate"/>
      </w:r>
      <w:r>
        <w:rPr>
          <w:rFonts w:hint="eastAsia" w:ascii="仿宋" w:hAnsi="仿宋" w:eastAsia="仿宋" w:cs="仿宋"/>
          <w:sz w:val="28"/>
          <w:szCs w:val="28"/>
        </w:rPr>
        <w:t>- 63 -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_Toc27022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10.1.5 </w:t>
      </w:r>
      <w:r>
        <w:rPr>
          <w:rFonts w:hint="eastAsia" w:ascii="仿宋" w:hAnsi="仿宋" w:eastAsia="仿宋" w:cs="仿宋"/>
          <w:sz w:val="28"/>
          <w:szCs w:val="28"/>
        </w:rPr>
        <w:t>应急培训内容、方式、记录、考核表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_Toc27022 </w:instrText>
      </w:r>
      <w:r>
        <w:rPr>
          <w:rFonts w:hint="eastAsia" w:ascii="仿宋" w:hAnsi="仿宋" w:eastAsia="仿宋" w:cs="仿宋"/>
          <w:sz w:val="28"/>
          <w:szCs w:val="28"/>
        </w:rPr>
        <w:fldChar w:fldCharType="separate"/>
      </w:r>
      <w:r>
        <w:rPr>
          <w:rFonts w:hint="eastAsia" w:ascii="仿宋" w:hAnsi="仿宋" w:eastAsia="仿宋" w:cs="仿宋"/>
          <w:sz w:val="28"/>
          <w:szCs w:val="28"/>
        </w:rPr>
        <w:t>- 63 -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_Toc5128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10.2 </w:t>
      </w:r>
      <w:r>
        <w:rPr>
          <w:rFonts w:hint="eastAsia" w:ascii="仿宋" w:hAnsi="仿宋" w:eastAsia="仿宋" w:cs="仿宋"/>
          <w:sz w:val="28"/>
          <w:szCs w:val="28"/>
        </w:rPr>
        <w:t>应急预案演练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_Toc5128 </w:instrText>
      </w:r>
      <w:r>
        <w:rPr>
          <w:rFonts w:hint="eastAsia" w:ascii="仿宋" w:hAnsi="仿宋" w:eastAsia="仿宋" w:cs="仿宋"/>
          <w:sz w:val="28"/>
          <w:szCs w:val="28"/>
        </w:rPr>
        <w:fldChar w:fldCharType="separate"/>
      </w:r>
      <w:r>
        <w:rPr>
          <w:rFonts w:hint="eastAsia" w:ascii="仿宋" w:hAnsi="仿宋" w:eastAsia="仿宋" w:cs="仿宋"/>
          <w:sz w:val="28"/>
          <w:szCs w:val="28"/>
        </w:rPr>
        <w:t>- 64 -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_Toc2411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10.2.1 </w:t>
      </w:r>
      <w:r>
        <w:rPr>
          <w:rFonts w:hint="eastAsia" w:ascii="仿宋" w:hAnsi="仿宋" w:eastAsia="仿宋" w:cs="仿宋"/>
          <w:sz w:val="28"/>
          <w:szCs w:val="28"/>
        </w:rPr>
        <w:t>演习准备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_Toc2411 </w:instrText>
      </w:r>
      <w:r>
        <w:rPr>
          <w:rFonts w:hint="eastAsia" w:ascii="仿宋" w:hAnsi="仿宋" w:eastAsia="仿宋" w:cs="仿宋"/>
          <w:sz w:val="28"/>
          <w:szCs w:val="28"/>
        </w:rPr>
        <w:fldChar w:fldCharType="separate"/>
      </w:r>
      <w:r>
        <w:rPr>
          <w:rFonts w:hint="eastAsia" w:ascii="仿宋" w:hAnsi="仿宋" w:eastAsia="仿宋" w:cs="仿宋"/>
          <w:sz w:val="28"/>
          <w:szCs w:val="28"/>
        </w:rPr>
        <w:t>- 65 -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_Toc4799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10.2.2 </w:t>
      </w:r>
      <w:r>
        <w:rPr>
          <w:rFonts w:hint="eastAsia" w:ascii="仿宋" w:hAnsi="仿宋" w:eastAsia="仿宋" w:cs="仿宋"/>
          <w:sz w:val="28"/>
          <w:szCs w:val="28"/>
        </w:rPr>
        <w:t>演习范围与频次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_Toc4799 </w:instrText>
      </w:r>
      <w:r>
        <w:rPr>
          <w:rFonts w:hint="eastAsia" w:ascii="仿宋" w:hAnsi="仿宋" w:eastAsia="仿宋" w:cs="仿宋"/>
          <w:sz w:val="28"/>
          <w:szCs w:val="28"/>
        </w:rPr>
        <w:fldChar w:fldCharType="separate"/>
      </w:r>
      <w:r>
        <w:rPr>
          <w:rFonts w:hint="eastAsia" w:ascii="仿宋" w:hAnsi="仿宋" w:eastAsia="仿宋" w:cs="仿宋"/>
          <w:sz w:val="28"/>
          <w:szCs w:val="28"/>
        </w:rPr>
        <w:t>- 66 -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_Toc8830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10.2.3 </w:t>
      </w:r>
      <w:r>
        <w:rPr>
          <w:rFonts w:hint="eastAsia" w:ascii="仿宋" w:hAnsi="仿宋" w:eastAsia="仿宋" w:cs="仿宋"/>
          <w:sz w:val="28"/>
          <w:szCs w:val="28"/>
        </w:rPr>
        <w:t>演练规模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_Toc8830 </w:instrText>
      </w:r>
      <w:r>
        <w:rPr>
          <w:rFonts w:hint="eastAsia" w:ascii="仿宋" w:hAnsi="仿宋" w:eastAsia="仿宋" w:cs="仿宋"/>
          <w:sz w:val="28"/>
          <w:szCs w:val="28"/>
        </w:rPr>
        <w:fldChar w:fldCharType="separate"/>
      </w:r>
      <w:r>
        <w:rPr>
          <w:rFonts w:hint="eastAsia" w:ascii="仿宋" w:hAnsi="仿宋" w:eastAsia="仿宋" w:cs="仿宋"/>
          <w:sz w:val="28"/>
          <w:szCs w:val="28"/>
        </w:rPr>
        <w:t>- 66 -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_Toc30592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10.2.4 </w:t>
      </w:r>
      <w:r>
        <w:rPr>
          <w:rFonts w:hint="eastAsia" w:ascii="仿宋" w:hAnsi="仿宋" w:eastAsia="仿宋" w:cs="仿宋"/>
          <w:sz w:val="28"/>
          <w:szCs w:val="28"/>
        </w:rPr>
        <w:t>演练内容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_Toc30592 </w:instrText>
      </w:r>
      <w:r>
        <w:rPr>
          <w:rFonts w:hint="eastAsia" w:ascii="仿宋" w:hAnsi="仿宋" w:eastAsia="仿宋" w:cs="仿宋"/>
          <w:sz w:val="28"/>
          <w:szCs w:val="28"/>
        </w:rPr>
        <w:fldChar w:fldCharType="separate"/>
      </w:r>
      <w:r>
        <w:rPr>
          <w:rFonts w:hint="eastAsia" w:ascii="仿宋" w:hAnsi="仿宋" w:eastAsia="仿宋" w:cs="仿宋"/>
          <w:sz w:val="28"/>
          <w:szCs w:val="28"/>
        </w:rPr>
        <w:t>- 66 -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_Toc5485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10.2.5 </w:t>
      </w:r>
      <w:r>
        <w:rPr>
          <w:rFonts w:hint="eastAsia" w:ascii="仿宋" w:hAnsi="仿宋" w:eastAsia="仿宋" w:cs="仿宋"/>
          <w:sz w:val="28"/>
          <w:szCs w:val="28"/>
        </w:rPr>
        <w:t>演练组织</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_Toc5485 </w:instrText>
      </w:r>
      <w:r>
        <w:rPr>
          <w:rFonts w:hint="eastAsia" w:ascii="仿宋" w:hAnsi="仿宋" w:eastAsia="仿宋" w:cs="仿宋"/>
          <w:sz w:val="28"/>
          <w:szCs w:val="28"/>
        </w:rPr>
        <w:fldChar w:fldCharType="separate"/>
      </w:r>
      <w:r>
        <w:rPr>
          <w:rFonts w:hint="eastAsia" w:ascii="仿宋" w:hAnsi="仿宋" w:eastAsia="仿宋" w:cs="仿宋"/>
          <w:sz w:val="28"/>
          <w:szCs w:val="28"/>
        </w:rPr>
        <w:t>- 66 -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_Toc10170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10.2.6 </w:t>
      </w:r>
      <w:r>
        <w:rPr>
          <w:rFonts w:hint="eastAsia" w:ascii="仿宋" w:hAnsi="仿宋" w:eastAsia="仿宋" w:cs="仿宋"/>
          <w:sz w:val="28"/>
          <w:szCs w:val="28"/>
        </w:rPr>
        <w:t>应急演练的评价、总结与追踪</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_Toc10170 </w:instrText>
      </w:r>
      <w:r>
        <w:rPr>
          <w:rFonts w:hint="eastAsia" w:ascii="仿宋" w:hAnsi="仿宋" w:eastAsia="仿宋" w:cs="仿宋"/>
          <w:sz w:val="28"/>
          <w:szCs w:val="28"/>
        </w:rPr>
        <w:fldChar w:fldCharType="separate"/>
      </w:r>
      <w:r>
        <w:rPr>
          <w:rFonts w:hint="eastAsia" w:ascii="仿宋" w:hAnsi="仿宋" w:eastAsia="仿宋" w:cs="仿宋"/>
          <w:sz w:val="28"/>
          <w:szCs w:val="28"/>
        </w:rPr>
        <w:t>- 67 -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_Toc9159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11 </w:t>
      </w:r>
      <w:r>
        <w:rPr>
          <w:rFonts w:hint="eastAsia" w:ascii="仿宋" w:hAnsi="仿宋" w:eastAsia="仿宋" w:cs="仿宋"/>
          <w:sz w:val="28"/>
          <w:szCs w:val="28"/>
        </w:rPr>
        <w:t>责任与奖惩</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_Toc9159 </w:instrText>
      </w:r>
      <w:r>
        <w:rPr>
          <w:rFonts w:hint="eastAsia" w:ascii="仿宋" w:hAnsi="仿宋" w:eastAsia="仿宋" w:cs="仿宋"/>
          <w:sz w:val="28"/>
          <w:szCs w:val="28"/>
        </w:rPr>
        <w:fldChar w:fldCharType="separate"/>
      </w:r>
      <w:r>
        <w:rPr>
          <w:rFonts w:hint="eastAsia" w:ascii="仿宋" w:hAnsi="仿宋" w:eastAsia="仿宋" w:cs="仿宋"/>
          <w:sz w:val="28"/>
          <w:szCs w:val="28"/>
        </w:rPr>
        <w:t>- 68 -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_Toc28981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12 </w:t>
      </w:r>
      <w:r>
        <w:rPr>
          <w:rFonts w:hint="eastAsia" w:ascii="仿宋" w:hAnsi="仿宋" w:eastAsia="仿宋" w:cs="仿宋"/>
          <w:sz w:val="28"/>
          <w:szCs w:val="28"/>
        </w:rPr>
        <w:t>应急保障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_Toc28981 </w:instrText>
      </w:r>
      <w:r>
        <w:rPr>
          <w:rFonts w:hint="eastAsia" w:ascii="仿宋" w:hAnsi="仿宋" w:eastAsia="仿宋" w:cs="仿宋"/>
          <w:sz w:val="28"/>
          <w:szCs w:val="28"/>
        </w:rPr>
        <w:fldChar w:fldCharType="separate"/>
      </w:r>
      <w:r>
        <w:rPr>
          <w:rFonts w:hint="eastAsia" w:ascii="仿宋" w:hAnsi="仿宋" w:eastAsia="仿宋" w:cs="仿宋"/>
          <w:sz w:val="28"/>
          <w:szCs w:val="28"/>
        </w:rPr>
        <w:t>- 69 -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_Toc29916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12.1 </w:t>
      </w:r>
      <w:r>
        <w:rPr>
          <w:rFonts w:hint="eastAsia" w:ascii="仿宋" w:hAnsi="仿宋" w:eastAsia="仿宋" w:cs="仿宋"/>
          <w:sz w:val="28"/>
          <w:szCs w:val="28"/>
        </w:rPr>
        <w:t>人力资源保障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_Toc29916 </w:instrText>
      </w:r>
      <w:r>
        <w:rPr>
          <w:rFonts w:hint="eastAsia" w:ascii="仿宋" w:hAnsi="仿宋" w:eastAsia="仿宋" w:cs="仿宋"/>
          <w:sz w:val="28"/>
          <w:szCs w:val="28"/>
        </w:rPr>
        <w:fldChar w:fldCharType="separate"/>
      </w:r>
      <w:r>
        <w:rPr>
          <w:rFonts w:hint="eastAsia" w:ascii="仿宋" w:hAnsi="仿宋" w:eastAsia="仿宋" w:cs="仿宋"/>
          <w:sz w:val="28"/>
          <w:szCs w:val="28"/>
        </w:rPr>
        <w:t>- 69 -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_Toc21503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12.2 </w:t>
      </w:r>
      <w:r>
        <w:rPr>
          <w:rFonts w:hint="eastAsia" w:ascii="仿宋" w:hAnsi="仿宋" w:eastAsia="仿宋" w:cs="仿宋"/>
          <w:sz w:val="28"/>
          <w:szCs w:val="28"/>
        </w:rPr>
        <w:t>资金保障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_Toc21503 </w:instrText>
      </w:r>
      <w:r>
        <w:rPr>
          <w:rFonts w:hint="eastAsia" w:ascii="仿宋" w:hAnsi="仿宋" w:eastAsia="仿宋" w:cs="仿宋"/>
          <w:sz w:val="28"/>
          <w:szCs w:val="28"/>
        </w:rPr>
        <w:fldChar w:fldCharType="separate"/>
      </w:r>
      <w:r>
        <w:rPr>
          <w:rFonts w:hint="eastAsia" w:ascii="仿宋" w:hAnsi="仿宋" w:eastAsia="仿宋" w:cs="仿宋"/>
          <w:sz w:val="28"/>
          <w:szCs w:val="28"/>
        </w:rPr>
        <w:t>- 69 -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_Toc11904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12.3 </w:t>
      </w:r>
      <w:r>
        <w:rPr>
          <w:rFonts w:hint="eastAsia" w:ascii="仿宋" w:hAnsi="仿宋" w:eastAsia="仿宋" w:cs="仿宋"/>
          <w:sz w:val="28"/>
          <w:szCs w:val="28"/>
        </w:rPr>
        <w:t>应急队伍保障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_Toc11904 </w:instrText>
      </w:r>
      <w:r>
        <w:rPr>
          <w:rFonts w:hint="eastAsia" w:ascii="仿宋" w:hAnsi="仿宋" w:eastAsia="仿宋" w:cs="仿宋"/>
          <w:sz w:val="28"/>
          <w:szCs w:val="28"/>
        </w:rPr>
        <w:fldChar w:fldCharType="separate"/>
      </w:r>
      <w:r>
        <w:rPr>
          <w:rFonts w:hint="eastAsia" w:ascii="仿宋" w:hAnsi="仿宋" w:eastAsia="仿宋" w:cs="仿宋"/>
          <w:sz w:val="28"/>
          <w:szCs w:val="28"/>
        </w:rPr>
        <w:t>- 70 -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_Toc21681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12.4 </w:t>
      </w:r>
      <w:r>
        <w:rPr>
          <w:rFonts w:hint="eastAsia" w:ascii="仿宋" w:hAnsi="仿宋" w:eastAsia="仿宋" w:cs="仿宋"/>
          <w:sz w:val="28"/>
          <w:szCs w:val="28"/>
        </w:rPr>
        <w:t>交通运输保障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_Toc21681 </w:instrText>
      </w:r>
      <w:r>
        <w:rPr>
          <w:rFonts w:hint="eastAsia" w:ascii="仿宋" w:hAnsi="仿宋" w:eastAsia="仿宋" w:cs="仿宋"/>
          <w:sz w:val="28"/>
          <w:szCs w:val="28"/>
        </w:rPr>
        <w:fldChar w:fldCharType="separate"/>
      </w:r>
      <w:r>
        <w:rPr>
          <w:rFonts w:hint="eastAsia" w:ascii="仿宋" w:hAnsi="仿宋" w:eastAsia="仿宋" w:cs="仿宋"/>
          <w:sz w:val="28"/>
          <w:szCs w:val="28"/>
        </w:rPr>
        <w:t>- 70 -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_Toc10412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12.5 </w:t>
      </w:r>
      <w:r>
        <w:rPr>
          <w:rFonts w:hint="eastAsia" w:ascii="仿宋" w:hAnsi="仿宋" w:eastAsia="仿宋" w:cs="仿宋"/>
          <w:sz w:val="28"/>
          <w:szCs w:val="28"/>
        </w:rPr>
        <w:t>通讯与信息保障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_Toc10412 </w:instrText>
      </w:r>
      <w:r>
        <w:rPr>
          <w:rFonts w:hint="eastAsia" w:ascii="仿宋" w:hAnsi="仿宋" w:eastAsia="仿宋" w:cs="仿宋"/>
          <w:sz w:val="28"/>
          <w:szCs w:val="28"/>
        </w:rPr>
        <w:fldChar w:fldCharType="separate"/>
      </w:r>
      <w:r>
        <w:rPr>
          <w:rFonts w:hint="eastAsia" w:ascii="仿宋" w:hAnsi="仿宋" w:eastAsia="仿宋" w:cs="仿宋"/>
          <w:sz w:val="28"/>
          <w:szCs w:val="28"/>
        </w:rPr>
        <w:t>- 70 -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_Toc25091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12.6 </w:t>
      </w:r>
      <w:r>
        <w:rPr>
          <w:rFonts w:hint="eastAsia" w:ascii="仿宋" w:hAnsi="仿宋" w:eastAsia="仿宋" w:cs="仿宋"/>
          <w:sz w:val="28"/>
          <w:szCs w:val="28"/>
        </w:rPr>
        <w:t>应急装备保障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_Toc25091 </w:instrText>
      </w:r>
      <w:r>
        <w:rPr>
          <w:rFonts w:hint="eastAsia" w:ascii="仿宋" w:hAnsi="仿宋" w:eastAsia="仿宋" w:cs="仿宋"/>
          <w:sz w:val="28"/>
          <w:szCs w:val="28"/>
        </w:rPr>
        <w:fldChar w:fldCharType="separate"/>
      </w:r>
      <w:r>
        <w:rPr>
          <w:rFonts w:hint="eastAsia" w:ascii="仿宋" w:hAnsi="仿宋" w:eastAsia="仿宋" w:cs="仿宋"/>
          <w:sz w:val="28"/>
          <w:szCs w:val="28"/>
        </w:rPr>
        <w:t>- 70 -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_Toc15191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12.7 </w:t>
      </w:r>
      <w:r>
        <w:rPr>
          <w:rFonts w:hint="eastAsia" w:ascii="仿宋" w:hAnsi="仿宋" w:eastAsia="仿宋" w:cs="仿宋"/>
          <w:sz w:val="28"/>
          <w:szCs w:val="28"/>
        </w:rPr>
        <w:t>医疗卫生保障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_Toc15191 </w:instrText>
      </w:r>
      <w:r>
        <w:rPr>
          <w:rFonts w:hint="eastAsia" w:ascii="仿宋" w:hAnsi="仿宋" w:eastAsia="仿宋" w:cs="仿宋"/>
          <w:sz w:val="28"/>
          <w:szCs w:val="28"/>
        </w:rPr>
        <w:fldChar w:fldCharType="separate"/>
      </w:r>
      <w:r>
        <w:rPr>
          <w:rFonts w:hint="eastAsia" w:ascii="仿宋" w:hAnsi="仿宋" w:eastAsia="仿宋" w:cs="仿宋"/>
          <w:sz w:val="28"/>
          <w:szCs w:val="28"/>
        </w:rPr>
        <w:t>- 71 -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_Toc28609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12.8 </w:t>
      </w:r>
      <w:r>
        <w:rPr>
          <w:rFonts w:hint="eastAsia" w:ascii="仿宋" w:hAnsi="仿宋" w:eastAsia="仿宋" w:cs="仿宋"/>
          <w:sz w:val="28"/>
          <w:szCs w:val="28"/>
        </w:rPr>
        <w:t>科学技术保障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_Toc28609 </w:instrText>
      </w:r>
      <w:r>
        <w:rPr>
          <w:rFonts w:hint="eastAsia" w:ascii="仿宋" w:hAnsi="仿宋" w:eastAsia="仿宋" w:cs="仿宋"/>
          <w:sz w:val="28"/>
          <w:szCs w:val="28"/>
        </w:rPr>
        <w:fldChar w:fldCharType="separate"/>
      </w:r>
      <w:r>
        <w:rPr>
          <w:rFonts w:hint="eastAsia" w:ascii="仿宋" w:hAnsi="仿宋" w:eastAsia="仿宋" w:cs="仿宋"/>
          <w:sz w:val="28"/>
          <w:szCs w:val="28"/>
        </w:rPr>
        <w:t>- 71 -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_Toc24581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12.9 </w:t>
      </w:r>
      <w:r>
        <w:rPr>
          <w:rFonts w:hint="eastAsia" w:ascii="仿宋" w:hAnsi="仿宋" w:eastAsia="仿宋" w:cs="仿宋"/>
          <w:sz w:val="28"/>
          <w:szCs w:val="28"/>
        </w:rPr>
        <w:t>生活保障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_Toc24581 </w:instrText>
      </w:r>
      <w:r>
        <w:rPr>
          <w:rFonts w:hint="eastAsia" w:ascii="仿宋" w:hAnsi="仿宋" w:eastAsia="仿宋" w:cs="仿宋"/>
          <w:sz w:val="28"/>
          <w:szCs w:val="28"/>
        </w:rPr>
        <w:fldChar w:fldCharType="separate"/>
      </w:r>
      <w:r>
        <w:rPr>
          <w:rFonts w:hint="eastAsia" w:ascii="仿宋" w:hAnsi="仿宋" w:eastAsia="仿宋" w:cs="仿宋"/>
          <w:sz w:val="28"/>
          <w:szCs w:val="28"/>
        </w:rPr>
        <w:t>- 71 -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_Toc15004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12.10 </w:t>
      </w:r>
      <w:r>
        <w:rPr>
          <w:rFonts w:hint="eastAsia" w:ascii="仿宋" w:hAnsi="仿宋" w:eastAsia="仿宋" w:cs="仿宋"/>
          <w:sz w:val="28"/>
          <w:szCs w:val="28"/>
        </w:rPr>
        <w:t>其他保障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_Toc15004 </w:instrText>
      </w:r>
      <w:r>
        <w:rPr>
          <w:rFonts w:hint="eastAsia" w:ascii="仿宋" w:hAnsi="仿宋" w:eastAsia="仿宋" w:cs="仿宋"/>
          <w:sz w:val="28"/>
          <w:szCs w:val="28"/>
        </w:rPr>
        <w:fldChar w:fldCharType="separate"/>
      </w:r>
      <w:r>
        <w:rPr>
          <w:rFonts w:hint="eastAsia" w:ascii="仿宋" w:hAnsi="仿宋" w:eastAsia="仿宋" w:cs="仿宋"/>
          <w:sz w:val="28"/>
          <w:szCs w:val="28"/>
        </w:rPr>
        <w:t>- 71 -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_Toc27869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13 </w:t>
      </w:r>
      <w:r>
        <w:rPr>
          <w:rFonts w:hint="eastAsia" w:ascii="仿宋" w:hAnsi="仿宋" w:eastAsia="仿宋" w:cs="仿宋"/>
          <w:sz w:val="28"/>
          <w:szCs w:val="28"/>
        </w:rPr>
        <w:t>预案的评审、备案、发布和更新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_Toc27869 </w:instrText>
      </w:r>
      <w:r>
        <w:rPr>
          <w:rFonts w:hint="eastAsia" w:ascii="仿宋" w:hAnsi="仿宋" w:eastAsia="仿宋" w:cs="仿宋"/>
          <w:sz w:val="28"/>
          <w:szCs w:val="28"/>
        </w:rPr>
        <w:fldChar w:fldCharType="separate"/>
      </w:r>
      <w:r>
        <w:rPr>
          <w:rFonts w:hint="eastAsia" w:ascii="仿宋" w:hAnsi="仿宋" w:eastAsia="仿宋" w:cs="仿宋"/>
          <w:sz w:val="28"/>
          <w:szCs w:val="28"/>
        </w:rPr>
        <w:t>- 72 -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_Toc889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13.1 </w:t>
      </w:r>
      <w:r>
        <w:rPr>
          <w:rFonts w:hint="eastAsia" w:ascii="仿宋" w:hAnsi="仿宋" w:eastAsia="仿宋" w:cs="仿宋"/>
          <w:sz w:val="28"/>
          <w:szCs w:val="28"/>
        </w:rPr>
        <w:t>应急预案的评审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_Toc889 </w:instrText>
      </w:r>
      <w:r>
        <w:rPr>
          <w:rFonts w:hint="eastAsia" w:ascii="仿宋" w:hAnsi="仿宋" w:eastAsia="仿宋" w:cs="仿宋"/>
          <w:sz w:val="28"/>
          <w:szCs w:val="28"/>
        </w:rPr>
        <w:fldChar w:fldCharType="separate"/>
      </w:r>
      <w:r>
        <w:rPr>
          <w:rFonts w:hint="eastAsia" w:ascii="仿宋" w:hAnsi="仿宋" w:eastAsia="仿宋" w:cs="仿宋"/>
          <w:sz w:val="28"/>
          <w:szCs w:val="28"/>
        </w:rPr>
        <w:t>- 72 -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_Toc7484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13.1.1 </w:t>
      </w:r>
      <w:r>
        <w:rPr>
          <w:rFonts w:hint="eastAsia" w:ascii="仿宋" w:hAnsi="仿宋" w:eastAsia="仿宋" w:cs="仿宋"/>
          <w:sz w:val="28"/>
          <w:szCs w:val="28"/>
        </w:rPr>
        <w:t>应急预案内部评审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_Toc7484 </w:instrText>
      </w:r>
      <w:r>
        <w:rPr>
          <w:rFonts w:hint="eastAsia" w:ascii="仿宋" w:hAnsi="仿宋" w:eastAsia="仿宋" w:cs="仿宋"/>
          <w:sz w:val="28"/>
          <w:szCs w:val="28"/>
        </w:rPr>
        <w:fldChar w:fldCharType="separate"/>
      </w:r>
      <w:r>
        <w:rPr>
          <w:rFonts w:hint="eastAsia" w:ascii="仿宋" w:hAnsi="仿宋" w:eastAsia="仿宋" w:cs="仿宋"/>
          <w:sz w:val="28"/>
          <w:szCs w:val="28"/>
        </w:rPr>
        <w:t>- 72 -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_Toc17951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13.1.2 </w:t>
      </w:r>
      <w:r>
        <w:rPr>
          <w:rFonts w:hint="eastAsia" w:ascii="仿宋" w:hAnsi="仿宋" w:eastAsia="仿宋" w:cs="仿宋"/>
          <w:sz w:val="28"/>
          <w:szCs w:val="28"/>
        </w:rPr>
        <w:t>外部评审</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_Toc17951 </w:instrText>
      </w:r>
      <w:r>
        <w:rPr>
          <w:rFonts w:hint="eastAsia" w:ascii="仿宋" w:hAnsi="仿宋" w:eastAsia="仿宋" w:cs="仿宋"/>
          <w:sz w:val="28"/>
          <w:szCs w:val="28"/>
        </w:rPr>
        <w:fldChar w:fldCharType="separate"/>
      </w:r>
      <w:r>
        <w:rPr>
          <w:rFonts w:hint="eastAsia" w:ascii="仿宋" w:hAnsi="仿宋" w:eastAsia="仿宋" w:cs="仿宋"/>
          <w:sz w:val="28"/>
          <w:szCs w:val="28"/>
        </w:rPr>
        <w:t>- 72 -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6"/>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_Toc31780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13.1.3 </w:t>
      </w:r>
      <w:r>
        <w:rPr>
          <w:rFonts w:hint="eastAsia" w:ascii="仿宋" w:hAnsi="仿宋" w:eastAsia="仿宋" w:cs="仿宋"/>
          <w:sz w:val="28"/>
          <w:szCs w:val="28"/>
        </w:rPr>
        <w:t>预案备案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_Toc31780 </w:instrText>
      </w:r>
      <w:r>
        <w:rPr>
          <w:rFonts w:hint="eastAsia" w:ascii="仿宋" w:hAnsi="仿宋" w:eastAsia="仿宋" w:cs="仿宋"/>
          <w:sz w:val="28"/>
          <w:szCs w:val="28"/>
        </w:rPr>
        <w:fldChar w:fldCharType="separate"/>
      </w:r>
      <w:r>
        <w:rPr>
          <w:rFonts w:hint="eastAsia" w:ascii="仿宋" w:hAnsi="仿宋" w:eastAsia="仿宋" w:cs="仿宋"/>
          <w:sz w:val="28"/>
          <w:szCs w:val="28"/>
        </w:rPr>
        <w:t>- 72 -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_Toc20088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13.2 </w:t>
      </w:r>
      <w:r>
        <w:rPr>
          <w:rFonts w:hint="eastAsia" w:ascii="仿宋" w:hAnsi="仿宋" w:eastAsia="仿宋" w:cs="仿宋"/>
          <w:sz w:val="28"/>
          <w:szCs w:val="28"/>
        </w:rPr>
        <w:t>预案的更新及修正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_Toc20088 </w:instrText>
      </w:r>
      <w:r>
        <w:rPr>
          <w:rFonts w:hint="eastAsia" w:ascii="仿宋" w:hAnsi="仿宋" w:eastAsia="仿宋" w:cs="仿宋"/>
          <w:sz w:val="28"/>
          <w:szCs w:val="28"/>
        </w:rPr>
        <w:fldChar w:fldCharType="separate"/>
      </w:r>
      <w:r>
        <w:rPr>
          <w:rFonts w:hint="eastAsia" w:ascii="仿宋" w:hAnsi="仿宋" w:eastAsia="仿宋" w:cs="仿宋"/>
          <w:sz w:val="28"/>
          <w:szCs w:val="28"/>
        </w:rPr>
        <w:t>- 72 -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_Toc9985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13.3 </w:t>
      </w:r>
      <w:r>
        <w:rPr>
          <w:rFonts w:hint="eastAsia" w:ascii="仿宋" w:hAnsi="仿宋" w:eastAsia="仿宋" w:cs="仿宋"/>
          <w:sz w:val="28"/>
          <w:szCs w:val="28"/>
        </w:rPr>
        <w:t>预案发布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_Toc9985 </w:instrText>
      </w:r>
      <w:r>
        <w:rPr>
          <w:rFonts w:hint="eastAsia" w:ascii="仿宋" w:hAnsi="仿宋" w:eastAsia="仿宋" w:cs="仿宋"/>
          <w:sz w:val="28"/>
          <w:szCs w:val="28"/>
        </w:rPr>
        <w:fldChar w:fldCharType="separate"/>
      </w:r>
      <w:r>
        <w:rPr>
          <w:rFonts w:hint="eastAsia" w:ascii="仿宋" w:hAnsi="仿宋" w:eastAsia="仿宋" w:cs="仿宋"/>
          <w:sz w:val="28"/>
          <w:szCs w:val="28"/>
        </w:rPr>
        <w:t>- 73 -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_Toc26821 </w:instrText>
      </w:r>
      <w:r>
        <w:rPr>
          <w:rFonts w:hint="eastAsia" w:ascii="仿宋" w:hAnsi="仿宋" w:eastAsia="仿宋" w:cs="仿宋"/>
          <w:sz w:val="28"/>
          <w:szCs w:val="28"/>
        </w:rPr>
        <w:fldChar w:fldCharType="separate"/>
      </w:r>
      <w:r>
        <w:rPr>
          <w:rFonts w:hint="eastAsia" w:ascii="仿宋" w:hAnsi="仿宋" w:eastAsia="仿宋" w:cs="仿宋"/>
          <w:i w:val="0"/>
          <w:sz w:val="28"/>
          <w:szCs w:val="28"/>
          <w:lang w:val="en-US" w:eastAsia="zh-CN"/>
        </w:rPr>
        <w:t xml:space="preserve">13.4 </w:t>
      </w:r>
      <w:r>
        <w:rPr>
          <w:rFonts w:hint="eastAsia" w:ascii="仿宋" w:hAnsi="仿宋" w:eastAsia="仿宋" w:cs="仿宋"/>
          <w:sz w:val="28"/>
          <w:szCs w:val="28"/>
          <w:lang w:val="en-US" w:eastAsia="zh-CN"/>
        </w:rPr>
        <w:t>预案的实施和生效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_Toc26821 </w:instrText>
      </w:r>
      <w:r>
        <w:rPr>
          <w:rFonts w:hint="eastAsia" w:ascii="仿宋" w:hAnsi="仿宋" w:eastAsia="仿宋" w:cs="仿宋"/>
          <w:sz w:val="28"/>
          <w:szCs w:val="28"/>
        </w:rPr>
        <w:fldChar w:fldCharType="separate"/>
      </w:r>
      <w:r>
        <w:rPr>
          <w:rFonts w:hint="eastAsia" w:ascii="仿宋" w:hAnsi="仿宋" w:eastAsia="仿宋" w:cs="仿宋"/>
          <w:sz w:val="28"/>
          <w:szCs w:val="28"/>
        </w:rPr>
        <w:t>- 73 -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3"/>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_Toc21388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14 </w:t>
      </w:r>
      <w:r>
        <w:rPr>
          <w:rFonts w:hint="eastAsia" w:ascii="仿宋" w:hAnsi="仿宋" w:eastAsia="仿宋" w:cs="仿宋"/>
          <w:sz w:val="28"/>
          <w:szCs w:val="28"/>
        </w:rPr>
        <w:t>附则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_Toc21388 </w:instrText>
      </w:r>
      <w:r>
        <w:rPr>
          <w:rFonts w:hint="eastAsia" w:ascii="仿宋" w:hAnsi="仿宋" w:eastAsia="仿宋" w:cs="仿宋"/>
          <w:sz w:val="28"/>
          <w:szCs w:val="28"/>
        </w:rPr>
        <w:fldChar w:fldCharType="separate"/>
      </w:r>
      <w:r>
        <w:rPr>
          <w:rFonts w:hint="eastAsia" w:ascii="仿宋" w:hAnsi="仿宋" w:eastAsia="仿宋" w:cs="仿宋"/>
          <w:sz w:val="28"/>
          <w:szCs w:val="28"/>
        </w:rPr>
        <w:t>- 74 -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_Toc3182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14.1 </w:t>
      </w:r>
      <w:r>
        <w:rPr>
          <w:rFonts w:hint="eastAsia" w:ascii="仿宋" w:hAnsi="仿宋" w:eastAsia="仿宋" w:cs="仿宋"/>
          <w:sz w:val="28"/>
          <w:szCs w:val="28"/>
        </w:rPr>
        <w:t>名词术语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_Toc3182 </w:instrText>
      </w:r>
      <w:r>
        <w:rPr>
          <w:rFonts w:hint="eastAsia" w:ascii="仿宋" w:hAnsi="仿宋" w:eastAsia="仿宋" w:cs="仿宋"/>
          <w:sz w:val="28"/>
          <w:szCs w:val="28"/>
        </w:rPr>
        <w:fldChar w:fldCharType="separate"/>
      </w:r>
      <w:r>
        <w:rPr>
          <w:rFonts w:hint="eastAsia" w:ascii="仿宋" w:hAnsi="仿宋" w:eastAsia="仿宋" w:cs="仿宋"/>
          <w:sz w:val="28"/>
          <w:szCs w:val="28"/>
        </w:rPr>
        <w:t>- 74 -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_Toc6618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14.2 </w:t>
      </w:r>
      <w:r>
        <w:rPr>
          <w:rFonts w:hint="eastAsia" w:ascii="仿宋" w:hAnsi="仿宋" w:eastAsia="仿宋" w:cs="仿宋"/>
          <w:sz w:val="28"/>
          <w:szCs w:val="28"/>
        </w:rPr>
        <w:t>预案解释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_Toc6618 </w:instrText>
      </w:r>
      <w:r>
        <w:rPr>
          <w:rFonts w:hint="eastAsia" w:ascii="仿宋" w:hAnsi="仿宋" w:eastAsia="仿宋" w:cs="仿宋"/>
          <w:sz w:val="28"/>
          <w:szCs w:val="28"/>
        </w:rPr>
        <w:fldChar w:fldCharType="separate"/>
      </w:r>
      <w:r>
        <w:rPr>
          <w:rFonts w:hint="eastAsia" w:ascii="仿宋" w:hAnsi="仿宋" w:eastAsia="仿宋" w:cs="仿宋"/>
          <w:sz w:val="28"/>
          <w:szCs w:val="28"/>
        </w:rPr>
        <w:t>- 75 -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_Toc7764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14.3 </w:t>
      </w:r>
      <w:r>
        <w:rPr>
          <w:rFonts w:hint="eastAsia" w:ascii="仿宋" w:hAnsi="仿宋" w:eastAsia="仿宋" w:cs="仿宋"/>
          <w:sz w:val="28"/>
          <w:szCs w:val="28"/>
        </w:rPr>
        <w:t>修订情况</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_Toc7764 </w:instrText>
      </w:r>
      <w:r>
        <w:rPr>
          <w:rFonts w:hint="eastAsia" w:ascii="仿宋" w:hAnsi="仿宋" w:eastAsia="仿宋" w:cs="仿宋"/>
          <w:sz w:val="28"/>
          <w:szCs w:val="28"/>
        </w:rPr>
        <w:fldChar w:fldCharType="separate"/>
      </w:r>
      <w:r>
        <w:rPr>
          <w:rFonts w:hint="eastAsia" w:ascii="仿宋" w:hAnsi="仿宋" w:eastAsia="仿宋" w:cs="仿宋"/>
          <w:sz w:val="28"/>
          <w:szCs w:val="28"/>
        </w:rPr>
        <w:t>- 75 -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bookmarkStart w:id="496" w:name="_GoBack"/>
      <w:bookmarkEnd w:id="496"/>
    </w:p>
    <w:p>
      <w:pPr>
        <w:pStyle w:val="28"/>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\l _Toc19418 </w:instrText>
      </w:r>
      <w:r>
        <w:rPr>
          <w:rFonts w:hint="eastAsia" w:ascii="仿宋" w:hAnsi="仿宋" w:eastAsia="仿宋" w:cs="仿宋"/>
          <w:sz w:val="28"/>
          <w:szCs w:val="28"/>
        </w:rPr>
        <w:fldChar w:fldCharType="separate"/>
      </w:r>
      <w:r>
        <w:rPr>
          <w:rFonts w:hint="eastAsia" w:ascii="仿宋" w:hAnsi="仿宋" w:eastAsia="仿宋" w:cs="仿宋"/>
          <w:i w:val="0"/>
          <w:sz w:val="28"/>
          <w:szCs w:val="28"/>
        </w:rPr>
        <w:t xml:space="preserve">14.4 </w:t>
      </w:r>
      <w:r>
        <w:rPr>
          <w:rFonts w:hint="eastAsia" w:ascii="仿宋" w:hAnsi="仿宋" w:eastAsia="仿宋" w:cs="仿宋"/>
          <w:sz w:val="28"/>
          <w:szCs w:val="28"/>
        </w:rPr>
        <w:t>实施日期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_Toc19418 </w:instrText>
      </w:r>
      <w:r>
        <w:rPr>
          <w:rFonts w:hint="eastAsia" w:ascii="仿宋" w:hAnsi="仿宋" w:eastAsia="仿宋" w:cs="仿宋"/>
          <w:sz w:val="28"/>
          <w:szCs w:val="28"/>
        </w:rPr>
        <w:fldChar w:fldCharType="separate"/>
      </w:r>
      <w:r>
        <w:rPr>
          <w:rFonts w:hint="eastAsia" w:ascii="仿宋" w:hAnsi="仿宋" w:eastAsia="仿宋" w:cs="仿宋"/>
          <w:sz w:val="28"/>
          <w:szCs w:val="28"/>
        </w:rPr>
        <w:t>- 75 -</w:t>
      </w:r>
      <w:r>
        <w:rPr>
          <w:rFonts w:hint="eastAsia" w:ascii="仿宋" w:hAnsi="仿宋" w:eastAsia="仿宋" w:cs="仿宋"/>
          <w:sz w:val="28"/>
          <w:szCs w:val="28"/>
        </w:rPr>
        <w:fldChar w:fldCharType="end"/>
      </w:r>
      <w:r>
        <w:rPr>
          <w:rFonts w:hint="eastAsia" w:ascii="仿宋" w:hAnsi="仿宋" w:eastAsia="仿宋" w:cs="仿宋"/>
          <w:sz w:val="28"/>
          <w:szCs w:val="28"/>
        </w:rPr>
        <w:fldChar w:fldCharType="end"/>
      </w:r>
    </w:p>
    <w:p>
      <w:pPr>
        <w:pStyle w:val="179"/>
        <w:keepNext w:val="0"/>
        <w:keepLines w:val="0"/>
        <w:pageBreakBefore w:val="0"/>
        <w:widowControl w:val="0"/>
        <w:kinsoku/>
        <w:wordWrap/>
        <w:overflowPunct/>
        <w:topLinePunct w:val="0"/>
        <w:autoSpaceDE/>
        <w:autoSpaceDN/>
        <w:bidi w:val="0"/>
        <w:adjustRightInd/>
        <w:snapToGrid/>
        <w:spacing w:before="0" w:beforeLines="0" w:after="0" w:afterLines="0"/>
        <w:ind w:left="0"/>
        <w:contextualSpacing/>
        <w:textAlignment w:val="auto"/>
        <w:outlineLvl w:val="9"/>
        <w:rPr>
          <w:rFonts w:hint="eastAsia" w:ascii="仿宋" w:hAnsi="仿宋" w:eastAsia="仿宋" w:cs="仿宋"/>
          <w:b w:val="0"/>
          <w:bCs w:val="0"/>
          <w:sz w:val="28"/>
          <w:szCs w:val="28"/>
          <w:lang w:val="en-US" w:eastAsia="zh-CN"/>
        </w:rPr>
      </w:pPr>
    </w:p>
    <w:p>
      <w:pPr>
        <w:pStyle w:val="23"/>
        <w:keepNext w:val="0"/>
        <w:keepLines w:val="0"/>
        <w:pageBreakBefore w:val="0"/>
        <w:widowControl w:val="0"/>
        <w:tabs>
          <w:tab w:val="right" w:leader="dot" w:pos="8306"/>
        </w:tabs>
        <w:kinsoku/>
        <w:wordWrap/>
        <w:overflowPunct/>
        <w:topLinePunct w:val="0"/>
        <w:autoSpaceDE/>
        <w:autoSpaceDN/>
        <w:bidi w:val="0"/>
        <w:adjustRightInd/>
        <w:snapToGrid/>
        <w:textAlignment w:val="auto"/>
        <w:rPr>
          <w:rFonts w:hint="eastAsia" w:ascii="仿宋" w:hAnsi="仿宋" w:eastAsia="仿宋" w:cs="仿宋"/>
          <w:sz w:val="28"/>
          <w:szCs w:val="28"/>
        </w:rPr>
      </w:pPr>
    </w:p>
    <w:p>
      <w:pPr>
        <w:keepNext w:val="0"/>
        <w:keepLines w:val="0"/>
        <w:pageBreakBefore w:val="0"/>
        <w:widowControl w:val="0"/>
        <w:kinsoku/>
        <w:wordWrap/>
        <w:overflowPunct/>
        <w:topLinePunct w:val="0"/>
        <w:autoSpaceDE/>
        <w:autoSpaceDN/>
        <w:bidi w:val="0"/>
        <w:adjustRightInd/>
        <w:snapToGrid/>
        <w:spacing w:line="240" w:lineRule="auto"/>
        <w:ind w:right="0" w:rightChars="0" w:firstLine="480"/>
        <w:textAlignment w:val="auto"/>
        <w:rPr>
          <w:rFonts w:ascii="Times New Roman" w:hAnsi="Times New Roman" w:cs="Times New Roman" w:eastAsiaTheme="minorEastAsia"/>
          <w:sz w:val="24"/>
          <w:szCs w:val="24"/>
        </w:rPr>
      </w:pPr>
      <w:r>
        <w:rPr>
          <w:rFonts w:hint="eastAsia" w:ascii="仿宋" w:hAnsi="仿宋" w:eastAsia="仿宋" w:cs="仿宋"/>
          <w:sz w:val="28"/>
          <w:szCs w:val="28"/>
        </w:rPr>
        <w:fldChar w:fldCharType="end"/>
      </w:r>
    </w:p>
    <w:p>
      <w:pPr>
        <w:keepNext w:val="0"/>
        <w:keepLines w:val="0"/>
        <w:pageBreakBefore w:val="0"/>
        <w:widowControl/>
        <w:kinsoku/>
        <w:wordWrap/>
        <w:overflowPunct/>
        <w:topLinePunct w:val="0"/>
        <w:autoSpaceDE/>
        <w:autoSpaceDN/>
        <w:bidi w:val="0"/>
        <w:adjustRightInd/>
        <w:snapToGrid/>
        <w:spacing w:line="240" w:lineRule="auto"/>
        <w:ind w:right="0" w:rightChars="0" w:firstLine="560"/>
        <w:jc w:val="left"/>
        <w:textAlignment w:val="auto"/>
        <w:rPr>
          <w:rFonts w:ascii="Times New Roman" w:hAnsi="Times New Roman" w:cs="Times New Roman" w:eastAsiaTheme="minorEastAsia"/>
          <w:bCs/>
          <w:iCs/>
          <w:sz w:val="24"/>
          <w:szCs w:val="24"/>
          <w:lang w:bidi="en-US"/>
        </w:rPr>
      </w:pPr>
    </w:p>
    <w:p>
      <w:pPr>
        <w:keepNext w:val="0"/>
        <w:keepLines w:val="0"/>
        <w:pageBreakBefore w:val="0"/>
        <w:widowControl/>
        <w:kinsoku/>
        <w:wordWrap/>
        <w:overflowPunct/>
        <w:topLinePunct w:val="0"/>
        <w:autoSpaceDE/>
        <w:autoSpaceDN/>
        <w:bidi w:val="0"/>
        <w:adjustRightInd/>
        <w:snapToGrid/>
        <w:spacing w:line="240" w:lineRule="auto"/>
        <w:ind w:right="0" w:rightChars="0" w:firstLine="560"/>
        <w:jc w:val="left"/>
        <w:textAlignment w:val="auto"/>
        <w:rPr>
          <w:rFonts w:ascii="Times New Roman" w:hAnsi="Times New Roman" w:eastAsia="仿宋" w:cs="Times New Roman"/>
          <w:bCs/>
          <w:iCs/>
          <w:sz w:val="28"/>
          <w:szCs w:val="28"/>
          <w:lang w:bidi="en-US"/>
        </w:rPr>
        <w:sectPr>
          <w:pgSz w:w="11906" w:h="16838"/>
          <w:pgMar w:top="1440" w:right="1800" w:bottom="1440" w:left="1800" w:header="851" w:footer="992" w:gutter="0"/>
          <w:pgNumType w:start="1"/>
          <w:cols w:space="425" w:num="1"/>
          <w:docGrid w:type="lines" w:linePitch="312" w:charSpace="0"/>
        </w:sectPr>
      </w:pPr>
    </w:p>
    <w:p>
      <w:pPr>
        <w:pStyle w:val="43"/>
        <w:ind w:firstLine="883"/>
      </w:pPr>
      <w:bookmarkStart w:id="8" w:name="_Toc23813"/>
      <w:bookmarkStart w:id="9" w:name="_Toc25850"/>
      <w:bookmarkStart w:id="10" w:name="_Toc505945671"/>
      <w:bookmarkStart w:id="11" w:name="_Toc9955"/>
      <w:bookmarkStart w:id="12" w:name="_Toc2567"/>
      <w:r>
        <w:rPr>
          <w:rFonts w:hint="eastAsia"/>
        </w:rPr>
        <w:t>总则</w:t>
      </w:r>
      <w:bookmarkEnd w:id="7"/>
      <w:bookmarkEnd w:id="8"/>
      <w:bookmarkEnd w:id="9"/>
      <w:bookmarkEnd w:id="10"/>
      <w:bookmarkEnd w:id="11"/>
      <w:bookmarkEnd w:id="12"/>
    </w:p>
    <w:p>
      <w:pPr>
        <w:pStyle w:val="131"/>
      </w:pPr>
      <w:bookmarkStart w:id="13" w:name="_Toc30956"/>
      <w:bookmarkStart w:id="14" w:name="_Toc505945672"/>
      <w:bookmarkStart w:id="15" w:name="_Toc14329"/>
      <w:bookmarkStart w:id="16" w:name="_Toc463949080"/>
      <w:r>
        <w:rPr>
          <w:rFonts w:hint="eastAsia"/>
        </w:rPr>
        <w:t>编制目的</w:t>
      </w:r>
      <w:bookmarkEnd w:id="13"/>
      <w:bookmarkEnd w:id="14"/>
      <w:bookmarkEnd w:id="15"/>
      <w:bookmarkEnd w:id="16"/>
    </w:p>
    <w:p>
      <w:pPr>
        <w:pStyle w:val="124"/>
        <w:ind w:firstLine="560"/>
      </w:pPr>
      <w:r>
        <w:rPr>
          <w:rFonts w:hint="eastAsia"/>
        </w:rPr>
        <w:t>（1）当</w:t>
      </w:r>
      <w:r>
        <w:t>发生应急事故</w:t>
      </w:r>
      <w:r>
        <w:rPr>
          <w:rFonts w:hint="eastAsia"/>
        </w:rPr>
        <w:t>后</w:t>
      </w:r>
      <w:r>
        <w:t>，可以科学的规范突发事件应对</w:t>
      </w:r>
      <w:r>
        <w:rPr>
          <w:rFonts w:hint="eastAsia"/>
        </w:rPr>
        <w:t>工作，提高企业</w:t>
      </w:r>
      <w:r>
        <w:t>对突发事件的应对能力，</w:t>
      </w:r>
      <w:r>
        <w:rPr>
          <w:rFonts w:hint="eastAsia"/>
        </w:rPr>
        <w:t>确保事故发生时能够及时、有效处理事故源，控制事故扩大，减小事故损失；</w:t>
      </w:r>
    </w:p>
    <w:p>
      <w:pPr>
        <w:pStyle w:val="124"/>
        <w:ind w:firstLine="560"/>
      </w:pPr>
      <w:r>
        <w:rPr>
          <w:rFonts w:hint="eastAsia"/>
        </w:rPr>
        <w:t>（2）有效</w:t>
      </w:r>
      <w:r>
        <w:t>的避免或减轻突发事件</w:t>
      </w:r>
      <w:r>
        <w:rPr>
          <w:rFonts w:hint="eastAsia"/>
        </w:rPr>
        <w:t>的</w:t>
      </w:r>
      <w:r>
        <w:t>影响</w:t>
      </w:r>
      <w:r>
        <w:rPr>
          <w:rFonts w:hint="eastAsia"/>
        </w:rPr>
        <w:t>，</w:t>
      </w:r>
      <w:r>
        <w:t>加强企业与政府的应对衔接工作</w:t>
      </w:r>
      <w:r>
        <w:rPr>
          <w:rFonts w:hint="eastAsia"/>
        </w:rPr>
        <w:t>；</w:t>
      </w:r>
    </w:p>
    <w:p>
      <w:pPr>
        <w:pStyle w:val="124"/>
        <w:ind w:firstLine="560"/>
      </w:pPr>
      <w:r>
        <w:rPr>
          <w:rFonts w:hint="eastAsia"/>
        </w:rPr>
        <w:t>（3）全面调查了解新疆福克油品股份有限公司突发环境事件类型、危险源以及所造成的环境危害，评估确定本企业的突发环境事件应急能力。加强本企业对突发环境事件的管理能力，全面预防突发环境事件；</w:t>
      </w:r>
    </w:p>
    <w:p>
      <w:pPr>
        <w:pStyle w:val="124"/>
        <w:ind w:firstLine="560"/>
      </w:pPr>
      <w:r>
        <w:rPr>
          <w:rFonts w:hint="eastAsia"/>
        </w:rPr>
        <w:t>（4）降低突发环境事件所造成的环境危害，通过突发环境事件的应急处理、环境应急监测、事故信息的及时发布、受影响人员迅速转移等措施，将事故所造成的危害降至最低；</w:t>
      </w:r>
    </w:p>
    <w:p>
      <w:pPr>
        <w:pStyle w:val="124"/>
        <w:ind w:firstLine="560"/>
      </w:pPr>
      <w:r>
        <w:rPr>
          <w:rFonts w:hint="eastAsia"/>
        </w:rPr>
        <w:t>（5）提高员工应急救援技能，使其明确我公司危险因素的所在位置，懂得如何做好突发环境事件安全监管工作，预防事故的发生。</w:t>
      </w:r>
    </w:p>
    <w:p>
      <w:pPr>
        <w:pStyle w:val="131"/>
      </w:pPr>
      <w:bookmarkStart w:id="17" w:name="_Toc19068"/>
      <w:bookmarkStart w:id="18" w:name="_Toc463949081"/>
      <w:bookmarkStart w:id="19" w:name="_Toc399769970"/>
      <w:bookmarkStart w:id="20" w:name="_Toc505945673"/>
      <w:bookmarkStart w:id="21" w:name="_Toc399770509"/>
      <w:bookmarkStart w:id="22" w:name="_Toc18019"/>
      <w:r>
        <w:rPr>
          <w:rFonts w:hint="eastAsia"/>
        </w:rPr>
        <w:t>编制依据</w:t>
      </w:r>
      <w:bookmarkEnd w:id="17"/>
      <w:bookmarkEnd w:id="18"/>
      <w:bookmarkEnd w:id="19"/>
      <w:bookmarkEnd w:id="20"/>
      <w:bookmarkEnd w:id="21"/>
      <w:bookmarkEnd w:id="22"/>
    </w:p>
    <w:p>
      <w:pPr>
        <w:pStyle w:val="132"/>
        <w:bidi w:val="0"/>
        <w:rPr>
          <w:rFonts w:hint="eastAsia"/>
        </w:rPr>
      </w:pPr>
      <w:bookmarkStart w:id="23" w:name="_Toc30787"/>
      <w:bookmarkStart w:id="24" w:name="_Toc505945676"/>
      <w:bookmarkStart w:id="25" w:name="_Toc30521"/>
      <w:bookmarkStart w:id="26" w:name="_Toc463949084"/>
      <w:bookmarkStart w:id="27" w:name="_Toc399769973"/>
      <w:bookmarkStart w:id="28" w:name="_Toc399770510"/>
      <w:r>
        <w:rPr>
          <w:rFonts w:hint="eastAsia"/>
        </w:rPr>
        <w:t>国家环境保护法律</w:t>
      </w:r>
      <w:r>
        <w:rPr>
          <w:rFonts w:hint="eastAsia"/>
          <w:lang w:eastAsia="zh-CN"/>
        </w:rPr>
        <w:t>、</w:t>
      </w:r>
      <w:r>
        <w:rPr>
          <w:rFonts w:hint="eastAsia"/>
        </w:rPr>
        <w:t>法规及行政规章</w:t>
      </w:r>
      <w:bookmarkEnd w:id="23"/>
    </w:p>
    <w:p>
      <w:pPr>
        <w:numPr>
          <w:ilvl w:val="0"/>
          <w:numId w:val="6"/>
        </w:numPr>
        <w:spacing w:line="360" w:lineRule="auto"/>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bidi="en-US"/>
        </w:rPr>
        <w:t>《中华人民共和国突发事件应对法》（2007年11月）；</w:t>
      </w:r>
    </w:p>
    <w:p>
      <w:pPr>
        <w:numPr>
          <w:ilvl w:val="0"/>
          <w:numId w:val="6"/>
        </w:numPr>
        <w:spacing w:line="360" w:lineRule="auto"/>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bidi="en-US"/>
        </w:rPr>
        <w:t>《危险化学品安全管理条例》（2013年12月）；</w:t>
      </w:r>
    </w:p>
    <w:p>
      <w:pPr>
        <w:numPr>
          <w:ilvl w:val="0"/>
          <w:numId w:val="6"/>
        </w:numPr>
        <w:spacing w:line="360" w:lineRule="auto"/>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bidi="en-US"/>
        </w:rPr>
        <w:t>《化学品环境风险防控“十二五”规划》（环发[2013]20号）；</w:t>
      </w:r>
    </w:p>
    <w:p>
      <w:pPr>
        <w:numPr>
          <w:ilvl w:val="0"/>
          <w:numId w:val="6"/>
        </w:numPr>
        <w:spacing w:line="360" w:lineRule="auto"/>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bidi="en-US"/>
        </w:rPr>
        <w:t>《安全生产许可证条例》（2014年7月修</w:t>
      </w:r>
      <w:r>
        <w:rPr>
          <w:rFonts w:hint="eastAsia" w:ascii="仿宋" w:hAnsi="仿宋" w:eastAsia="仿宋" w:cs="仿宋"/>
          <w:bCs/>
          <w:iCs/>
          <w:snapToGrid/>
          <w:sz w:val="28"/>
          <w:szCs w:val="28"/>
          <w:lang w:eastAsia="zh-CN" w:bidi="en-US"/>
        </w:rPr>
        <w:t>订</w:t>
      </w:r>
      <w:r>
        <w:rPr>
          <w:rFonts w:hint="eastAsia" w:ascii="仿宋" w:hAnsi="仿宋" w:eastAsia="仿宋" w:cs="仿宋"/>
          <w:bCs/>
          <w:iCs/>
          <w:snapToGrid/>
          <w:sz w:val="28"/>
          <w:szCs w:val="28"/>
          <w:lang w:bidi="en-US"/>
        </w:rPr>
        <w:t>版）；</w:t>
      </w:r>
    </w:p>
    <w:p>
      <w:pPr>
        <w:numPr>
          <w:ilvl w:val="0"/>
          <w:numId w:val="6"/>
        </w:numPr>
        <w:spacing w:line="360" w:lineRule="auto"/>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bidi="en-US"/>
        </w:rPr>
        <w:t>《中华人民共和国安全生产法》（2014年12月）；</w:t>
      </w:r>
    </w:p>
    <w:p>
      <w:pPr>
        <w:pStyle w:val="2"/>
        <w:numPr>
          <w:ilvl w:val="0"/>
          <w:numId w:val="6"/>
        </w:numPr>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bidi="en-US"/>
        </w:rPr>
        <w:t>《国务院办公厅关于印发国家突发环境事件应急预案的通知》（国</w:t>
      </w:r>
      <w:r>
        <w:rPr>
          <w:rFonts w:hint="eastAsia" w:ascii="仿宋" w:hAnsi="仿宋" w:eastAsia="仿宋" w:cs="仿宋"/>
          <w:bCs/>
          <w:iCs/>
          <w:snapToGrid/>
          <w:sz w:val="28"/>
          <w:szCs w:val="28"/>
          <w:lang w:val="en-US" w:eastAsia="zh-CN" w:bidi="en-US"/>
        </w:rPr>
        <w:t xml:space="preserve"> </w:t>
      </w:r>
      <w:r>
        <w:rPr>
          <w:rFonts w:hint="eastAsia" w:ascii="仿宋" w:hAnsi="仿宋" w:eastAsia="仿宋" w:cs="仿宋"/>
          <w:bCs/>
          <w:iCs/>
          <w:snapToGrid/>
          <w:sz w:val="28"/>
          <w:szCs w:val="28"/>
          <w:lang w:bidi="en-US"/>
        </w:rPr>
        <w:t>办函[2014]119号）；</w:t>
      </w:r>
    </w:p>
    <w:p>
      <w:pPr>
        <w:pStyle w:val="2"/>
        <w:numPr>
          <w:ilvl w:val="0"/>
          <w:numId w:val="6"/>
        </w:numPr>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bidi="en-US"/>
        </w:rPr>
        <w:t>《中华人民共和国环境保护法》（2015年1月</w:t>
      </w:r>
      <w:r>
        <w:rPr>
          <w:rFonts w:hint="eastAsia" w:ascii="仿宋" w:hAnsi="仿宋" w:eastAsia="仿宋" w:cs="仿宋"/>
          <w:bCs/>
          <w:iCs/>
          <w:snapToGrid/>
          <w:sz w:val="28"/>
          <w:szCs w:val="28"/>
          <w:lang w:eastAsia="zh-CN" w:bidi="en-US"/>
        </w:rPr>
        <w:t>修订版</w:t>
      </w:r>
      <w:r>
        <w:rPr>
          <w:rFonts w:hint="eastAsia" w:ascii="仿宋" w:hAnsi="仿宋" w:eastAsia="仿宋" w:cs="仿宋"/>
          <w:bCs/>
          <w:iCs/>
          <w:snapToGrid/>
          <w:sz w:val="28"/>
          <w:szCs w:val="28"/>
          <w:lang w:bidi="en-US"/>
        </w:rPr>
        <w:t>）；</w:t>
      </w:r>
    </w:p>
    <w:p>
      <w:pPr>
        <w:pStyle w:val="2"/>
        <w:numPr>
          <w:ilvl w:val="0"/>
          <w:numId w:val="6"/>
        </w:numPr>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val="en-US" w:eastAsia="zh-CN" w:bidi="en-US"/>
        </w:rPr>
        <w:t>《突发环境事件应急管理办法》（环境保护部令第 34 号，2015 年 6 月 5 日）；</w:t>
      </w:r>
    </w:p>
    <w:p>
      <w:pPr>
        <w:pStyle w:val="2"/>
        <w:numPr>
          <w:ilvl w:val="0"/>
          <w:numId w:val="6"/>
        </w:numPr>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bidi="en-US"/>
        </w:rPr>
        <w:t>《中华人民共和国环境影响评价法》（20</w:t>
      </w:r>
      <w:r>
        <w:rPr>
          <w:rFonts w:hint="eastAsia" w:ascii="仿宋" w:hAnsi="仿宋" w:eastAsia="仿宋" w:cs="仿宋"/>
          <w:bCs/>
          <w:iCs/>
          <w:snapToGrid/>
          <w:sz w:val="28"/>
          <w:szCs w:val="28"/>
          <w:lang w:val="en-US" w:eastAsia="zh-CN" w:bidi="en-US"/>
        </w:rPr>
        <w:t>16</w:t>
      </w:r>
      <w:r>
        <w:rPr>
          <w:rFonts w:hint="eastAsia" w:ascii="仿宋" w:hAnsi="仿宋" w:eastAsia="仿宋" w:cs="仿宋"/>
          <w:bCs/>
          <w:iCs/>
          <w:snapToGrid/>
          <w:sz w:val="28"/>
          <w:szCs w:val="28"/>
          <w:lang w:bidi="en-US"/>
        </w:rPr>
        <w:t>年9月）；</w:t>
      </w:r>
    </w:p>
    <w:p>
      <w:pPr>
        <w:pStyle w:val="2"/>
        <w:numPr>
          <w:ilvl w:val="0"/>
          <w:numId w:val="6"/>
        </w:numPr>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bidi="en-US"/>
        </w:rPr>
        <w:t>《突发环境事件信息报告办法》（环境保护令第17号）；</w:t>
      </w:r>
    </w:p>
    <w:p>
      <w:pPr>
        <w:pStyle w:val="2"/>
        <w:numPr>
          <w:ilvl w:val="0"/>
          <w:numId w:val="6"/>
        </w:numPr>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bidi="en-US"/>
        </w:rPr>
        <w:t>《企业事业单位突发环境事件应急预案备案管理办法（试行）》（环发[2015]4号）；</w:t>
      </w:r>
    </w:p>
    <w:p>
      <w:pPr>
        <w:pStyle w:val="2"/>
        <w:numPr>
          <w:ilvl w:val="0"/>
          <w:numId w:val="6"/>
        </w:numPr>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bidi="en-US"/>
        </w:rPr>
        <w:t>《危险化学品重大危险源监督管理暂行规定》（国家安全生产监督管理总局令第40号）；</w:t>
      </w:r>
    </w:p>
    <w:p>
      <w:pPr>
        <w:pStyle w:val="2"/>
        <w:numPr>
          <w:ilvl w:val="0"/>
          <w:numId w:val="6"/>
        </w:numPr>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bidi="en-US"/>
        </w:rPr>
        <w:t>《危险化学品生产企业安全生产许可证实施办法》（国家安全生产监督管理总局令第41号）；</w:t>
      </w:r>
    </w:p>
    <w:p>
      <w:pPr>
        <w:pStyle w:val="2"/>
        <w:numPr>
          <w:ilvl w:val="0"/>
          <w:numId w:val="6"/>
        </w:numPr>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bidi="en-US"/>
        </w:rPr>
        <w:t>《危险化学品建设项目安全监督管理办法》（国家安全生产监督管理总局令第45号）</w:t>
      </w:r>
      <w:r>
        <w:rPr>
          <w:rFonts w:hint="eastAsia" w:ascii="仿宋" w:hAnsi="仿宋" w:eastAsia="仿宋" w:cs="仿宋"/>
          <w:bCs/>
          <w:iCs/>
          <w:snapToGrid/>
          <w:sz w:val="28"/>
          <w:szCs w:val="28"/>
          <w:lang w:eastAsia="zh-CN" w:bidi="en-US"/>
        </w:rPr>
        <w:t>；</w:t>
      </w:r>
    </w:p>
    <w:p>
      <w:pPr>
        <w:pStyle w:val="2"/>
        <w:numPr>
          <w:ilvl w:val="0"/>
          <w:numId w:val="6"/>
        </w:numPr>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bidi="en-US"/>
        </w:rPr>
        <w:t>《中华人民共和国水污染防治法》（2018年1月1日）；</w:t>
      </w:r>
    </w:p>
    <w:p>
      <w:pPr>
        <w:pStyle w:val="2"/>
        <w:numPr>
          <w:ilvl w:val="0"/>
          <w:numId w:val="6"/>
        </w:numPr>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bidi="en-US"/>
        </w:rPr>
        <w:t>《中华人民共和国大气污染防治法》（201</w:t>
      </w:r>
      <w:r>
        <w:rPr>
          <w:rFonts w:hint="eastAsia" w:ascii="仿宋" w:hAnsi="仿宋" w:eastAsia="仿宋" w:cs="仿宋"/>
          <w:bCs/>
          <w:iCs/>
          <w:snapToGrid/>
          <w:sz w:val="28"/>
          <w:szCs w:val="28"/>
          <w:lang w:val="en-US" w:eastAsia="zh-CN" w:bidi="en-US"/>
        </w:rPr>
        <w:t>8</w:t>
      </w:r>
      <w:r>
        <w:rPr>
          <w:rFonts w:hint="eastAsia" w:ascii="仿宋" w:hAnsi="仿宋" w:eastAsia="仿宋" w:cs="仿宋"/>
          <w:bCs/>
          <w:iCs/>
          <w:snapToGrid/>
          <w:sz w:val="28"/>
          <w:szCs w:val="28"/>
          <w:lang w:bidi="en-US"/>
        </w:rPr>
        <w:t>年1</w:t>
      </w:r>
      <w:r>
        <w:rPr>
          <w:rFonts w:hint="eastAsia" w:ascii="仿宋" w:hAnsi="仿宋" w:eastAsia="仿宋" w:cs="仿宋"/>
          <w:bCs/>
          <w:iCs/>
          <w:snapToGrid/>
          <w:sz w:val="28"/>
          <w:szCs w:val="28"/>
          <w:lang w:val="en-US" w:eastAsia="zh-CN" w:bidi="en-US"/>
        </w:rPr>
        <w:t>0</w:t>
      </w:r>
      <w:r>
        <w:rPr>
          <w:rFonts w:hint="eastAsia" w:ascii="仿宋" w:hAnsi="仿宋" w:eastAsia="仿宋" w:cs="仿宋"/>
          <w:bCs/>
          <w:iCs/>
          <w:snapToGrid/>
          <w:sz w:val="28"/>
          <w:szCs w:val="28"/>
          <w:lang w:bidi="en-US"/>
        </w:rPr>
        <w:t>月</w:t>
      </w:r>
      <w:r>
        <w:rPr>
          <w:rFonts w:hint="eastAsia" w:ascii="仿宋" w:hAnsi="仿宋" w:eastAsia="仿宋" w:cs="仿宋"/>
          <w:bCs/>
          <w:iCs/>
          <w:snapToGrid/>
          <w:sz w:val="28"/>
          <w:szCs w:val="28"/>
          <w:lang w:val="en-US" w:eastAsia="zh-CN" w:bidi="en-US"/>
        </w:rPr>
        <w:t>26日</w:t>
      </w:r>
      <w:r>
        <w:rPr>
          <w:rFonts w:hint="eastAsia" w:ascii="仿宋" w:hAnsi="仿宋" w:eastAsia="仿宋" w:cs="仿宋"/>
          <w:bCs/>
          <w:iCs/>
          <w:snapToGrid/>
          <w:sz w:val="28"/>
          <w:szCs w:val="28"/>
          <w:lang w:bidi="en-US"/>
        </w:rPr>
        <w:t>）；</w:t>
      </w:r>
    </w:p>
    <w:p>
      <w:pPr>
        <w:pStyle w:val="2"/>
        <w:numPr>
          <w:ilvl w:val="0"/>
          <w:numId w:val="6"/>
        </w:numPr>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bidi="en-US"/>
        </w:rPr>
        <w:t>《中华人民共和国消防法》（2019年4月23日）；</w:t>
      </w:r>
    </w:p>
    <w:p>
      <w:pPr>
        <w:pStyle w:val="2"/>
        <w:numPr>
          <w:ilvl w:val="0"/>
          <w:numId w:val="6"/>
        </w:numPr>
        <w:ind w:left="425" w:hanging="425" w:firstLineChars="0"/>
        <w:rPr>
          <w:rFonts w:hint="eastAsia" w:ascii="仿宋" w:hAnsi="仿宋" w:eastAsia="仿宋" w:cs="仿宋"/>
          <w:bCs/>
          <w:iCs/>
          <w:snapToGrid/>
          <w:sz w:val="28"/>
          <w:szCs w:val="28"/>
          <w:lang w:bidi="en-US"/>
        </w:rPr>
      </w:pPr>
      <w:r>
        <w:rPr>
          <w:rFonts w:hint="eastAsia" w:ascii="仿宋" w:hAnsi="仿宋" w:eastAsia="仿宋" w:cs="仿宋"/>
          <w:bCs/>
          <w:iCs/>
          <w:snapToGrid/>
          <w:sz w:val="28"/>
          <w:szCs w:val="28"/>
          <w:lang w:val="en-US" w:eastAsia="zh-CN" w:bidi="en-US"/>
        </w:rPr>
        <w:t>《环境应急物资调查指南（试行）》环办应急〔2019〕17 号文；</w:t>
      </w:r>
    </w:p>
    <w:p>
      <w:pPr>
        <w:pStyle w:val="2"/>
        <w:numPr>
          <w:ilvl w:val="0"/>
          <w:numId w:val="6"/>
        </w:numPr>
        <w:ind w:left="425" w:hanging="425" w:firstLineChars="0"/>
        <w:rPr>
          <w:rFonts w:hint="eastAsia" w:ascii="仿宋" w:hAnsi="仿宋" w:eastAsia="仿宋" w:cs="仿宋"/>
          <w:bCs/>
          <w:iCs/>
          <w:snapToGrid/>
          <w:sz w:val="28"/>
          <w:szCs w:val="28"/>
          <w:lang w:val="en-US" w:eastAsia="zh-CN" w:bidi="en-US"/>
        </w:rPr>
      </w:pPr>
      <w:r>
        <w:rPr>
          <w:rFonts w:hint="eastAsia" w:ascii="仿宋" w:hAnsi="仿宋" w:eastAsia="仿宋" w:cs="仿宋"/>
          <w:bCs/>
          <w:iCs/>
          <w:snapToGrid/>
          <w:sz w:val="28"/>
          <w:szCs w:val="28"/>
          <w:lang w:val="en-US" w:eastAsia="zh-CN" w:bidi="en-US"/>
        </w:rPr>
        <w:t>《中华人民共和国固体废物污染环境防治法》（2020年9月1日实施）；</w:t>
      </w:r>
    </w:p>
    <w:p>
      <w:pPr>
        <w:pStyle w:val="25"/>
        <w:rPr>
          <w:rFonts w:hint="eastAsia"/>
        </w:rPr>
      </w:pPr>
    </w:p>
    <w:p>
      <w:pPr>
        <w:pStyle w:val="132"/>
        <w:bidi w:val="0"/>
        <w:rPr>
          <w:rFonts w:hint="eastAsia"/>
        </w:rPr>
      </w:pPr>
      <w:bookmarkStart w:id="29" w:name="_Toc20472"/>
      <w:r>
        <w:rPr>
          <w:rFonts w:hint="eastAsia"/>
        </w:rPr>
        <w:t>标准规范</w:t>
      </w:r>
      <w:r>
        <w:rPr>
          <w:rFonts w:hint="eastAsia"/>
          <w:lang w:eastAsia="zh-CN"/>
        </w:rPr>
        <w:t>和行业标准</w:t>
      </w:r>
      <w:bookmarkEnd w:id="29"/>
    </w:p>
    <w:p>
      <w:pPr>
        <w:pStyle w:val="124"/>
        <w:numPr>
          <w:ilvl w:val="0"/>
          <w:numId w:val="7"/>
        </w:numPr>
        <w:spacing w:line="300" w:lineRule="auto"/>
        <w:ind w:left="425" w:hanging="425" w:firstLineChars="0"/>
        <w:rPr>
          <w:rFonts w:hint="eastAsia" w:ascii="仿宋" w:hAnsi="仿宋" w:eastAsia="仿宋" w:cs="仿宋"/>
          <w:szCs w:val="28"/>
        </w:rPr>
      </w:pPr>
      <w:r>
        <w:rPr>
          <w:rFonts w:hint="eastAsia" w:ascii="仿宋" w:hAnsi="仿宋" w:cs="仿宋"/>
        </w:rPr>
        <w:t>《常用化学危险品贮存通则》（GB15603－1995）；</w:t>
      </w:r>
    </w:p>
    <w:p>
      <w:pPr>
        <w:pStyle w:val="124"/>
        <w:numPr>
          <w:ilvl w:val="0"/>
          <w:numId w:val="7"/>
        </w:numPr>
        <w:ind w:left="425" w:hanging="425" w:firstLineChars="0"/>
        <w:rPr>
          <w:rFonts w:hint="eastAsia" w:ascii="仿宋" w:hAnsi="仿宋" w:eastAsia="仿宋" w:cs="仿宋"/>
          <w:szCs w:val="28"/>
        </w:rPr>
        <w:sectPr>
          <w:footerReference r:id="rId9" w:type="default"/>
          <w:pgSz w:w="11906" w:h="16838"/>
          <w:pgMar w:top="1247" w:right="1440" w:bottom="1247" w:left="1440" w:header="851" w:footer="992" w:gutter="0"/>
          <w:pgNumType w:fmt="numberInDash" w:start="1"/>
          <w:cols w:space="720" w:num="1"/>
          <w:docGrid w:type="lines" w:linePitch="312" w:charSpace="0"/>
        </w:sectPr>
      </w:pPr>
    </w:p>
    <w:p>
      <w:pPr>
        <w:pStyle w:val="124"/>
        <w:numPr>
          <w:ilvl w:val="0"/>
          <w:numId w:val="7"/>
        </w:numPr>
        <w:ind w:left="425" w:hanging="425" w:firstLineChars="0"/>
        <w:rPr>
          <w:rFonts w:hint="eastAsia" w:ascii="仿宋" w:hAnsi="仿宋" w:eastAsia="仿宋" w:cs="仿宋"/>
          <w:szCs w:val="28"/>
        </w:rPr>
      </w:pPr>
      <w:r>
        <w:rPr>
          <w:rFonts w:hint="eastAsia" w:ascii="仿宋" w:hAnsi="仿宋" w:eastAsia="仿宋" w:cs="仿宋"/>
          <w:szCs w:val="28"/>
        </w:rPr>
        <w:t>《大气污染物综合排放标准》（GB16297</w:t>
      </w:r>
      <w:r>
        <w:rPr>
          <w:rFonts w:hint="eastAsia" w:ascii="仿宋" w:hAnsi="仿宋" w:cs="仿宋"/>
          <w:szCs w:val="28"/>
          <w:lang w:val="en-US" w:eastAsia="zh-CN"/>
        </w:rPr>
        <w:t>-1996</w:t>
      </w:r>
      <w:r>
        <w:rPr>
          <w:rFonts w:hint="eastAsia" w:ascii="仿宋" w:hAnsi="仿宋" w:eastAsia="仿宋" w:cs="仿宋"/>
          <w:szCs w:val="28"/>
        </w:rPr>
        <w:t>）；</w:t>
      </w:r>
    </w:p>
    <w:p>
      <w:pPr>
        <w:pStyle w:val="124"/>
        <w:numPr>
          <w:ilvl w:val="0"/>
          <w:numId w:val="7"/>
        </w:numPr>
        <w:spacing w:line="300" w:lineRule="auto"/>
        <w:ind w:left="425" w:hanging="425" w:firstLineChars="0"/>
        <w:rPr>
          <w:rFonts w:hint="eastAsia" w:ascii="仿宋" w:hAnsi="仿宋" w:cs="仿宋"/>
        </w:rPr>
      </w:pPr>
      <w:r>
        <w:rPr>
          <w:rFonts w:hint="eastAsia" w:ascii="仿宋" w:hAnsi="仿宋" w:eastAsia="仿宋" w:cs="仿宋"/>
          <w:szCs w:val="28"/>
        </w:rPr>
        <w:t>《地表水环境质量标准》（GB3838</w:t>
      </w:r>
      <w:r>
        <w:rPr>
          <w:rFonts w:hint="eastAsia" w:ascii="仿宋" w:hAnsi="仿宋" w:eastAsia="仿宋" w:cs="仿宋"/>
          <w:szCs w:val="28"/>
          <w:lang w:val="en-US" w:eastAsia="zh-CN"/>
        </w:rPr>
        <w:t>-2002</w:t>
      </w:r>
      <w:r>
        <w:rPr>
          <w:rFonts w:hint="eastAsia" w:ascii="仿宋" w:hAnsi="仿宋" w:eastAsia="仿宋" w:cs="仿宋"/>
          <w:szCs w:val="28"/>
        </w:rPr>
        <w:t>）；</w:t>
      </w:r>
    </w:p>
    <w:p>
      <w:pPr>
        <w:pStyle w:val="124"/>
        <w:numPr>
          <w:ilvl w:val="0"/>
          <w:numId w:val="7"/>
        </w:numPr>
        <w:spacing w:line="300" w:lineRule="auto"/>
        <w:ind w:left="425" w:hanging="425" w:firstLineChars="0"/>
        <w:rPr>
          <w:rFonts w:hint="eastAsia" w:ascii="仿宋" w:hAnsi="仿宋" w:cs="仿宋"/>
        </w:rPr>
      </w:pPr>
      <w:r>
        <w:rPr>
          <w:rFonts w:hint="eastAsia" w:ascii="仿宋" w:hAnsi="仿宋" w:cs="仿宋"/>
        </w:rPr>
        <w:t>《储罐区防火堤设计规范》（GB50351-2005）；</w:t>
      </w:r>
    </w:p>
    <w:p>
      <w:pPr>
        <w:pStyle w:val="124"/>
        <w:numPr>
          <w:ilvl w:val="0"/>
          <w:numId w:val="7"/>
        </w:numPr>
        <w:spacing w:line="300" w:lineRule="auto"/>
        <w:ind w:left="425" w:hanging="425" w:firstLineChars="0"/>
        <w:rPr>
          <w:rFonts w:hint="eastAsia" w:ascii="仿宋" w:hAnsi="仿宋" w:cs="仿宋"/>
        </w:rPr>
      </w:pPr>
      <w:r>
        <w:rPr>
          <w:rFonts w:hint="eastAsia" w:ascii="仿宋" w:hAnsi="仿宋" w:cs="仿宋"/>
        </w:rPr>
        <w:t>《石油化工企业设计防火规范》（GB50160-2008）；</w:t>
      </w:r>
    </w:p>
    <w:p>
      <w:pPr>
        <w:pStyle w:val="124"/>
        <w:numPr>
          <w:ilvl w:val="0"/>
          <w:numId w:val="7"/>
        </w:numPr>
        <w:spacing w:line="300" w:lineRule="auto"/>
        <w:ind w:left="425" w:hanging="425" w:firstLineChars="0"/>
        <w:rPr>
          <w:rFonts w:hint="eastAsia" w:ascii="仿宋" w:hAnsi="仿宋" w:cs="仿宋"/>
        </w:rPr>
      </w:pPr>
      <w:r>
        <w:rPr>
          <w:rFonts w:hint="eastAsia" w:ascii="仿宋" w:hAnsi="仿宋" w:cs="仿宋"/>
        </w:rPr>
        <w:t>《化工建设项目环境保护设计规范》（GB50483-2009）；</w:t>
      </w:r>
    </w:p>
    <w:p>
      <w:pPr>
        <w:pStyle w:val="124"/>
        <w:numPr>
          <w:ilvl w:val="0"/>
          <w:numId w:val="7"/>
        </w:numPr>
        <w:ind w:left="425" w:hanging="425" w:firstLineChars="0"/>
        <w:rPr>
          <w:rFonts w:hint="eastAsia" w:ascii="仿宋" w:hAnsi="仿宋" w:eastAsia="仿宋" w:cs="仿宋"/>
          <w:szCs w:val="28"/>
        </w:rPr>
      </w:pPr>
      <w:r>
        <w:rPr>
          <w:rFonts w:hint="eastAsia" w:ascii="仿宋" w:hAnsi="仿宋" w:cs="仿宋"/>
        </w:rPr>
        <w:t>《</w:t>
      </w:r>
      <w:r>
        <w:rPr>
          <w:rFonts w:hint="eastAsia" w:ascii="仿宋" w:hAnsi="仿宋" w:eastAsia="仿宋" w:cs="仿宋"/>
          <w:szCs w:val="28"/>
        </w:rPr>
        <w:t>环境空气质量标准》（GB3095</w:t>
      </w:r>
      <w:r>
        <w:rPr>
          <w:rFonts w:hint="eastAsia" w:ascii="仿宋" w:hAnsi="仿宋" w:eastAsia="仿宋" w:cs="仿宋"/>
          <w:szCs w:val="28"/>
          <w:lang w:val="en-US" w:eastAsia="zh-CN"/>
        </w:rPr>
        <w:t>-2012</w:t>
      </w:r>
      <w:r>
        <w:rPr>
          <w:rFonts w:hint="eastAsia" w:ascii="仿宋" w:hAnsi="仿宋" w:eastAsia="仿宋" w:cs="仿宋"/>
          <w:szCs w:val="28"/>
        </w:rPr>
        <w:t>）</w:t>
      </w:r>
    </w:p>
    <w:p>
      <w:pPr>
        <w:pStyle w:val="124"/>
        <w:numPr>
          <w:ilvl w:val="0"/>
          <w:numId w:val="7"/>
        </w:numPr>
        <w:ind w:left="425" w:hanging="425" w:firstLineChars="0"/>
        <w:rPr>
          <w:rFonts w:hint="eastAsia" w:ascii="仿宋" w:hAnsi="仿宋" w:eastAsia="仿宋" w:cs="仿宋"/>
          <w:szCs w:val="28"/>
        </w:rPr>
      </w:pPr>
      <w:r>
        <w:rPr>
          <w:rFonts w:hint="eastAsia" w:ascii="仿宋" w:hAnsi="仿宋" w:cs="仿宋"/>
        </w:rPr>
        <w:t>《重点监管危险化工工艺目录》（2013年版）；</w:t>
      </w:r>
    </w:p>
    <w:p>
      <w:pPr>
        <w:pStyle w:val="124"/>
        <w:numPr>
          <w:ilvl w:val="0"/>
          <w:numId w:val="7"/>
        </w:numPr>
        <w:ind w:left="425" w:hanging="425" w:firstLineChars="0"/>
        <w:rPr>
          <w:rFonts w:hint="eastAsia" w:ascii="仿宋" w:hAnsi="仿宋" w:cs="仿宋"/>
          <w:lang w:eastAsia="zh-CN"/>
        </w:rPr>
      </w:pPr>
      <w:r>
        <w:rPr>
          <w:rFonts w:hint="eastAsia" w:ascii="仿宋" w:hAnsi="仿宋" w:cs="仿宋"/>
        </w:rPr>
        <w:t>《新疆维吾尔自治区突发环境事件应急预案编制导则（试行）》（新环发〔2014〕234号，2014-6-12</w:t>
      </w:r>
      <w:r>
        <w:rPr>
          <w:rFonts w:hint="eastAsia" w:ascii="仿宋" w:hAnsi="仿宋" w:cs="仿宋"/>
          <w:lang w:eastAsia="zh-CN"/>
        </w:rPr>
        <w:t>；</w:t>
      </w:r>
    </w:p>
    <w:p>
      <w:pPr>
        <w:pStyle w:val="124"/>
        <w:numPr>
          <w:ilvl w:val="0"/>
          <w:numId w:val="7"/>
        </w:numPr>
        <w:spacing w:line="300" w:lineRule="auto"/>
        <w:ind w:left="425" w:hanging="425" w:firstLineChars="0"/>
        <w:rPr>
          <w:rFonts w:hint="eastAsia" w:ascii="仿宋" w:hAnsi="仿宋" w:cs="仿宋"/>
        </w:rPr>
      </w:pPr>
      <w:r>
        <w:rPr>
          <w:rFonts w:hint="eastAsia" w:ascii="仿宋" w:hAnsi="仿宋" w:cs="仿宋"/>
        </w:rPr>
        <w:t>《建筑设计防火规范》（GBJ50016-20</w:t>
      </w:r>
      <w:r>
        <w:rPr>
          <w:rFonts w:hint="eastAsia" w:ascii="仿宋" w:hAnsi="仿宋" w:cs="仿宋"/>
          <w:lang w:val="en-US" w:eastAsia="zh-CN"/>
        </w:rPr>
        <w:t>14</w:t>
      </w:r>
      <w:r>
        <w:rPr>
          <w:rFonts w:hint="eastAsia" w:ascii="仿宋" w:hAnsi="仿宋" w:cs="仿宋"/>
        </w:rPr>
        <w:t>）；</w:t>
      </w:r>
    </w:p>
    <w:p>
      <w:pPr>
        <w:pStyle w:val="124"/>
        <w:numPr>
          <w:ilvl w:val="0"/>
          <w:numId w:val="7"/>
        </w:numPr>
        <w:ind w:left="425" w:hanging="425" w:firstLineChars="0"/>
        <w:rPr>
          <w:rFonts w:hint="eastAsia" w:ascii="仿宋" w:hAnsi="仿宋" w:cs="仿宋"/>
          <w:lang w:eastAsia="zh-CN"/>
        </w:rPr>
      </w:pPr>
      <w:r>
        <w:rPr>
          <w:rFonts w:hint="eastAsia" w:ascii="仿宋" w:hAnsi="仿宋" w:cs="仿宋"/>
        </w:rPr>
        <w:t>《危险化学品名录》（2015版）；</w:t>
      </w:r>
    </w:p>
    <w:p>
      <w:pPr>
        <w:pStyle w:val="124"/>
        <w:numPr>
          <w:ilvl w:val="0"/>
          <w:numId w:val="7"/>
        </w:numPr>
        <w:ind w:left="425" w:hanging="425" w:firstLineChars="0"/>
        <w:rPr>
          <w:rFonts w:hint="eastAsia" w:ascii="仿宋" w:hAnsi="仿宋" w:cs="仿宋"/>
        </w:rPr>
      </w:pPr>
      <w:r>
        <w:rPr>
          <w:rFonts w:hint="eastAsia" w:ascii="仿宋" w:hAnsi="仿宋" w:cs="仿宋"/>
        </w:rPr>
        <w:t>《新疆维吾尔自治区突发环境事件应急预案》（2016年）；</w:t>
      </w:r>
    </w:p>
    <w:p>
      <w:pPr>
        <w:pStyle w:val="124"/>
        <w:numPr>
          <w:ilvl w:val="0"/>
          <w:numId w:val="7"/>
        </w:numPr>
        <w:ind w:left="425" w:hanging="425" w:firstLineChars="0"/>
        <w:rPr>
          <w:rFonts w:hint="eastAsia" w:ascii="仿宋" w:hAnsi="仿宋" w:cs="仿宋"/>
        </w:rPr>
      </w:pPr>
      <w:r>
        <w:rPr>
          <w:rFonts w:hint="eastAsia" w:ascii="仿宋" w:hAnsi="仿宋" w:cs="仿宋"/>
        </w:rPr>
        <w:t>《易制爆危险化学品名录》（2017版）；</w:t>
      </w:r>
    </w:p>
    <w:p>
      <w:pPr>
        <w:pStyle w:val="124"/>
        <w:numPr>
          <w:ilvl w:val="0"/>
          <w:numId w:val="7"/>
        </w:numPr>
        <w:ind w:left="425" w:hanging="425" w:firstLineChars="0"/>
        <w:rPr>
          <w:rFonts w:hint="eastAsia" w:ascii="仿宋" w:hAnsi="仿宋" w:cs="仿宋"/>
        </w:rPr>
      </w:pPr>
      <w:r>
        <w:rPr>
          <w:rFonts w:hint="eastAsia" w:ascii="仿宋" w:hAnsi="仿宋" w:cs="仿宋"/>
        </w:rPr>
        <w:t>《化学品分类和危险性公示通则》（GB13690－2018）；</w:t>
      </w:r>
    </w:p>
    <w:p>
      <w:pPr>
        <w:pStyle w:val="124"/>
        <w:numPr>
          <w:ilvl w:val="0"/>
          <w:numId w:val="7"/>
        </w:numPr>
        <w:spacing w:line="300" w:lineRule="auto"/>
        <w:ind w:left="425" w:hanging="425" w:firstLineChars="0"/>
        <w:rPr>
          <w:rFonts w:ascii="仿宋" w:hAnsi="仿宋" w:cs="仿宋"/>
        </w:rPr>
      </w:pPr>
      <w:r>
        <w:rPr>
          <w:rFonts w:hint="eastAsia" w:ascii="仿宋" w:hAnsi="仿宋" w:cs="仿宋"/>
        </w:rPr>
        <w:t>《企业突发环境事件风险分级方法》（HJ 941-2018）;</w:t>
      </w:r>
    </w:p>
    <w:p>
      <w:pPr>
        <w:pStyle w:val="124"/>
        <w:numPr>
          <w:ilvl w:val="0"/>
          <w:numId w:val="7"/>
        </w:numPr>
        <w:spacing w:line="300" w:lineRule="auto"/>
        <w:ind w:left="425" w:hanging="425" w:firstLineChars="0"/>
        <w:rPr>
          <w:rFonts w:ascii="仿宋" w:hAnsi="仿宋" w:cs="仿宋"/>
        </w:rPr>
      </w:pPr>
      <w:r>
        <w:rPr>
          <w:rFonts w:hint="eastAsia" w:ascii="仿宋" w:hAnsi="仿宋" w:cs="仿宋"/>
        </w:rPr>
        <w:t>《建设项目环境风险评价导则》（HJ/T169－2018） ；</w:t>
      </w:r>
    </w:p>
    <w:p>
      <w:pPr>
        <w:pStyle w:val="124"/>
        <w:numPr>
          <w:ilvl w:val="0"/>
          <w:numId w:val="7"/>
        </w:numPr>
        <w:ind w:left="425" w:hanging="425" w:firstLineChars="0"/>
        <w:rPr>
          <w:rFonts w:hint="eastAsia" w:ascii="仿宋" w:hAnsi="仿宋" w:cs="仿宋"/>
        </w:rPr>
      </w:pPr>
      <w:r>
        <w:rPr>
          <w:rFonts w:hint="eastAsia" w:ascii="仿宋" w:hAnsi="仿宋" w:cs="仿宋"/>
        </w:rPr>
        <w:t>《危险化学品重大危险源辨识》（GB18218－2018）</w:t>
      </w:r>
    </w:p>
    <w:p>
      <w:pPr>
        <w:pStyle w:val="124"/>
        <w:numPr>
          <w:ilvl w:val="0"/>
          <w:numId w:val="7"/>
        </w:numPr>
        <w:ind w:left="425" w:hanging="425" w:firstLineChars="0"/>
        <w:rPr>
          <w:rFonts w:hint="eastAsia" w:ascii="仿宋" w:hAnsi="仿宋" w:eastAsia="仿宋" w:cs="仿宋"/>
          <w:szCs w:val="28"/>
        </w:rPr>
      </w:pPr>
      <w:r>
        <w:rPr>
          <w:rFonts w:hint="eastAsia" w:ascii="仿宋" w:hAnsi="仿宋" w:eastAsia="仿宋" w:cs="仿宋"/>
          <w:szCs w:val="28"/>
        </w:rPr>
        <w:t>《污水综合排放标准》（GB8978）；</w:t>
      </w:r>
    </w:p>
    <w:p>
      <w:pPr>
        <w:pStyle w:val="124"/>
        <w:numPr>
          <w:ilvl w:val="0"/>
          <w:numId w:val="7"/>
        </w:numPr>
        <w:ind w:left="425" w:hanging="425" w:firstLineChars="0"/>
        <w:rPr>
          <w:rFonts w:hint="eastAsia" w:ascii="仿宋" w:hAnsi="仿宋" w:eastAsia="仿宋" w:cs="仿宋"/>
          <w:szCs w:val="28"/>
        </w:rPr>
      </w:pPr>
      <w:r>
        <w:rPr>
          <w:rFonts w:hint="eastAsia" w:ascii="仿宋" w:hAnsi="仿宋" w:eastAsia="仿宋" w:cs="仿宋"/>
          <w:szCs w:val="28"/>
        </w:rPr>
        <w:t>《工业企业设计卫生标准》（GBZ1）；</w:t>
      </w:r>
    </w:p>
    <w:p>
      <w:pPr>
        <w:pStyle w:val="124"/>
        <w:numPr>
          <w:ilvl w:val="0"/>
          <w:numId w:val="7"/>
        </w:numPr>
        <w:ind w:left="425" w:hanging="425" w:firstLineChars="0"/>
        <w:rPr>
          <w:rFonts w:ascii="仿宋" w:hAnsi="仿宋" w:eastAsia="仿宋" w:cs="仿宋"/>
          <w:szCs w:val="28"/>
        </w:rPr>
      </w:pPr>
      <w:r>
        <w:rPr>
          <w:rFonts w:hint="eastAsia" w:ascii="仿宋" w:hAnsi="仿宋" w:eastAsia="仿宋" w:cs="仿宋"/>
          <w:szCs w:val="28"/>
        </w:rPr>
        <w:t>《工作场所有害因素职业接触限值》（GBZ2）；</w:t>
      </w:r>
    </w:p>
    <w:p>
      <w:pPr>
        <w:pStyle w:val="124"/>
        <w:numPr>
          <w:ilvl w:val="0"/>
          <w:numId w:val="7"/>
        </w:numPr>
        <w:ind w:left="425" w:hanging="425" w:firstLineChars="0"/>
        <w:rPr>
          <w:rFonts w:hint="eastAsia" w:ascii="仿宋" w:hAnsi="仿宋" w:eastAsia="仿宋" w:cs="仿宋"/>
          <w:szCs w:val="28"/>
        </w:rPr>
      </w:pPr>
      <w:r>
        <w:rPr>
          <w:rFonts w:hint="eastAsia" w:ascii="仿宋" w:hAnsi="仿宋" w:eastAsia="仿宋" w:cs="仿宋"/>
          <w:szCs w:val="28"/>
        </w:rPr>
        <w:t>《地下水环境质量标准》（GB/T14848-2017）</w:t>
      </w:r>
    </w:p>
    <w:p>
      <w:pPr>
        <w:pStyle w:val="132"/>
        <w:bidi w:val="0"/>
        <w:rPr>
          <w:rFonts w:hint="eastAsia"/>
        </w:rPr>
      </w:pPr>
      <w:bookmarkStart w:id="30" w:name="_Toc3180"/>
      <w:r>
        <w:rPr>
          <w:rFonts w:hint="eastAsia"/>
        </w:rPr>
        <w:t>其他文件</w:t>
      </w:r>
      <w:bookmarkEnd w:id="30"/>
    </w:p>
    <w:p>
      <w:pPr>
        <w:pStyle w:val="124"/>
        <w:numPr>
          <w:ilvl w:val="0"/>
          <w:numId w:val="8"/>
        </w:numPr>
        <w:ind w:left="425" w:leftChars="0" w:hanging="425" w:firstLineChars="0"/>
        <w:rPr>
          <w:rFonts w:hint="eastAsia" w:ascii="仿宋" w:hAnsi="仿宋" w:eastAsia="仿宋" w:cs="仿宋"/>
        </w:rPr>
      </w:pPr>
      <w:r>
        <w:rPr>
          <w:rFonts w:hint="eastAsia" w:ascii="仿宋" w:hAnsi="仿宋" w:eastAsia="仿宋" w:cs="仿宋"/>
          <w:szCs w:val="28"/>
          <w:lang w:bidi="en-US"/>
        </w:rPr>
        <w:t>《新疆福克油品股份有限公司环境应急预案及编制说明》</w:t>
      </w:r>
      <w:r>
        <w:rPr>
          <w:rFonts w:hint="eastAsia" w:ascii="仿宋" w:hAnsi="仿宋" w:eastAsia="仿宋" w:cs="仿宋"/>
          <w:szCs w:val="28"/>
        </w:rPr>
        <w:t>；</w:t>
      </w:r>
    </w:p>
    <w:p>
      <w:pPr>
        <w:pStyle w:val="124"/>
        <w:numPr>
          <w:ilvl w:val="0"/>
          <w:numId w:val="8"/>
        </w:numPr>
        <w:ind w:left="425" w:hanging="425" w:firstLineChars="0"/>
        <w:rPr>
          <w:rFonts w:hint="eastAsia" w:ascii="仿宋" w:hAnsi="仿宋" w:eastAsia="仿宋" w:cs="仿宋"/>
          <w:szCs w:val="28"/>
        </w:rPr>
      </w:pPr>
      <w:r>
        <w:rPr>
          <w:rFonts w:hint="eastAsia" w:ascii="仿宋" w:hAnsi="仿宋" w:eastAsia="仿宋" w:cs="仿宋"/>
          <w:szCs w:val="28"/>
        </w:rPr>
        <w:t>新疆福克油品股份有限公司其它资料</w:t>
      </w:r>
      <w:r>
        <w:rPr>
          <w:rFonts w:hint="eastAsia" w:ascii="仿宋" w:hAnsi="仿宋" w:eastAsia="仿宋" w:cs="仿宋"/>
          <w:szCs w:val="28"/>
          <w:lang w:eastAsia="zh-CN"/>
        </w:rPr>
        <w:t>；</w:t>
      </w:r>
    </w:p>
    <w:p>
      <w:pPr>
        <w:pStyle w:val="124"/>
        <w:numPr>
          <w:ilvl w:val="0"/>
          <w:numId w:val="8"/>
        </w:numPr>
        <w:ind w:left="425" w:hanging="425" w:firstLineChars="0"/>
        <w:sectPr>
          <w:footerReference r:id="rId10" w:type="default"/>
          <w:pgSz w:w="11906" w:h="16838"/>
          <w:pgMar w:top="1247" w:right="1440" w:bottom="1247" w:left="1440" w:header="851" w:footer="992" w:gutter="0"/>
          <w:pgNumType w:fmt="numberInDash"/>
          <w:cols w:space="720" w:num="1"/>
          <w:docGrid w:type="lines" w:linePitch="312" w:charSpace="0"/>
        </w:sectPr>
      </w:pPr>
      <w:r>
        <w:rPr>
          <w:rFonts w:hint="eastAsia" w:ascii="仿宋" w:hAnsi="仿宋" w:cs="仿宋"/>
        </w:rPr>
        <w:t>现场踏勘收集到的相关资料；</w:t>
      </w:r>
    </w:p>
    <w:p>
      <w:pPr>
        <w:pStyle w:val="124"/>
        <w:ind w:left="0" w:leftChars="0" w:firstLine="0" w:firstLineChars="0"/>
        <w:rPr>
          <w:rFonts w:hint="eastAsia"/>
        </w:rPr>
      </w:pPr>
    </w:p>
    <w:p>
      <w:pPr>
        <w:pStyle w:val="131"/>
      </w:pPr>
      <w:bookmarkStart w:id="31" w:name="_Toc6218"/>
      <w:r>
        <w:rPr>
          <w:rFonts w:hint="eastAsia"/>
          <w:lang w:val="en-US" w:eastAsia="zh-CN"/>
        </w:rPr>
        <w:t>事件分类及</w:t>
      </w:r>
      <w:r>
        <w:rPr>
          <w:rFonts w:hint="eastAsia"/>
        </w:rPr>
        <w:t>事件分级</w:t>
      </w:r>
      <w:bookmarkEnd w:id="24"/>
      <w:bookmarkEnd w:id="25"/>
      <w:bookmarkEnd w:id="26"/>
      <w:bookmarkEnd w:id="31"/>
    </w:p>
    <w:p>
      <w:pPr>
        <w:pStyle w:val="132"/>
        <w:rPr>
          <w:rFonts w:hint="eastAsia"/>
          <w:lang w:val="en-US" w:eastAsia="zh-CN"/>
        </w:rPr>
      </w:pPr>
      <w:bookmarkStart w:id="32" w:name="_Toc19762"/>
      <w:r>
        <w:rPr>
          <w:rFonts w:hint="eastAsia"/>
          <w:lang w:val="en-US" w:eastAsia="zh-CN"/>
        </w:rPr>
        <w:t>事件分类</w:t>
      </w:r>
      <w:bookmarkEnd w:id="32"/>
    </w:p>
    <w:p>
      <w:pPr>
        <w:pStyle w:val="124"/>
        <w:ind w:firstLine="560"/>
        <w:rPr>
          <w:rFonts w:hint="eastAsia"/>
          <w:lang w:val="en-US" w:eastAsia="zh-CN"/>
        </w:rPr>
      </w:pPr>
      <w:r>
        <w:rPr>
          <w:rFonts w:hint="eastAsia"/>
          <w:lang w:val="en-US" w:eastAsia="zh-CN"/>
        </w:rPr>
        <w:t>根据突发环境事件的发生起源，突发环境事件分为突发水体污染事件、突发大气环境污染事件、固体废物污染环境事件三类。</w:t>
      </w:r>
    </w:p>
    <w:p>
      <w:pPr>
        <w:pStyle w:val="124"/>
        <w:ind w:firstLine="560"/>
        <w:rPr>
          <w:rFonts w:hint="eastAsia"/>
          <w:lang w:val="en-US" w:eastAsia="zh-CN"/>
        </w:rPr>
      </w:pPr>
      <w:r>
        <w:rPr>
          <w:rFonts w:hint="eastAsia"/>
          <w:lang w:val="en-US" w:eastAsia="zh-CN"/>
        </w:rPr>
        <w:t>本项目涉及突发大气污染事件、固体危险废物污染环境事件。</w:t>
      </w:r>
    </w:p>
    <w:p>
      <w:pPr>
        <w:pStyle w:val="132"/>
        <w:rPr>
          <w:rFonts w:hint="eastAsia"/>
          <w:lang w:val="en-US" w:eastAsia="zh-CN"/>
        </w:rPr>
      </w:pPr>
      <w:bookmarkStart w:id="33" w:name="_Toc4190"/>
      <w:r>
        <w:rPr>
          <w:rFonts w:hint="eastAsia"/>
          <w:lang w:val="en-US" w:eastAsia="zh-CN"/>
        </w:rPr>
        <w:t>事件分级</w:t>
      </w:r>
      <w:bookmarkEnd w:id="33"/>
    </w:p>
    <w:p>
      <w:pPr>
        <w:pStyle w:val="124"/>
        <w:ind w:firstLine="560"/>
        <w:rPr>
          <w:rFonts w:hint="eastAsia"/>
          <w:lang w:val="en-US" w:eastAsia="zh-CN"/>
        </w:rPr>
      </w:pPr>
      <w:r>
        <w:rPr>
          <w:rFonts w:hint="eastAsia"/>
          <w:lang w:val="en-US" w:eastAsia="zh-CN"/>
        </w:rPr>
        <w:t>按照突发事件严重性和紧急程度，突发环境事件分为特别重大（Ⅰ级）、重大（Ⅱ级）、较大（Ⅲ级）和一般（Ⅳ级）四级。</w:t>
      </w:r>
    </w:p>
    <w:p>
      <w:pPr>
        <w:pStyle w:val="6"/>
        <w:keepNext/>
        <w:keepLines/>
        <w:pageBreakBefore w:val="0"/>
        <w:widowControl w:val="0"/>
        <w:numPr>
          <w:ilvl w:val="0"/>
          <w:numId w:val="9"/>
        </w:numPr>
        <w:kinsoku/>
        <w:wordWrap/>
        <w:overflowPunct/>
        <w:topLinePunct w:val="0"/>
        <w:autoSpaceDE/>
        <w:autoSpaceDN/>
        <w:bidi w:val="0"/>
        <w:adjustRightInd/>
        <w:snapToGrid/>
        <w:spacing w:before="0" w:after="0" w:line="300" w:lineRule="auto"/>
        <w:ind w:left="425" w:leftChars="0" w:hanging="425" w:firstLineChars="0"/>
        <w:textAlignment w:val="auto"/>
        <w:rPr>
          <w:rFonts w:hint="eastAsia" w:ascii="仿宋" w:hAnsi="仿宋" w:eastAsia="仿宋" w:cs="仿宋"/>
          <w:b w:val="0"/>
          <w:bCs w:val="0"/>
          <w:color w:val="000000" w:themeColor="text1"/>
          <w:sz w:val="28"/>
          <w:szCs w:val="28"/>
          <w14:textFill>
            <w14:solidFill>
              <w14:schemeClr w14:val="tx1"/>
            </w14:solidFill>
          </w14:textFill>
        </w:rPr>
      </w:pPr>
      <w:r>
        <w:rPr>
          <w:rFonts w:hint="eastAsia" w:ascii="仿宋" w:hAnsi="仿宋" w:eastAsia="仿宋" w:cs="仿宋"/>
          <w:b w:val="0"/>
          <w:bCs w:val="0"/>
          <w:lang w:val="en-US" w:eastAsia="zh-CN"/>
        </w:rPr>
        <w:t>特别重大（Ⅰ级）突发</w:t>
      </w:r>
      <w:r>
        <w:rPr>
          <w:rFonts w:hint="eastAsia" w:ascii="仿宋" w:hAnsi="仿宋" w:eastAsia="仿宋" w:cs="仿宋"/>
          <w:b w:val="0"/>
          <w:bCs w:val="0"/>
          <w:color w:val="000000" w:themeColor="text1"/>
          <w14:textFill>
            <w14:solidFill>
              <w14:schemeClr w14:val="tx1"/>
            </w14:solidFill>
          </w14:textFill>
        </w:rPr>
        <w:t>环境事件。</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凡符合下列情形之一的，为特别重大突发环境事件：</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（1）因环境污染直接导致10人以上死亡或100人以上中毒的；</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（2）因环境污染需疏散、转移群众5万人以上的；</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（3）因环境污染造成直接经济损失1亿元以上的；</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（4）因环境污染造成区域生态功能丧失或国家重点保护物种灭绝的；</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（5）因环境污染造成地市级以上城市集中式饮用水水源地取水中断的；</w:t>
      </w:r>
    </w:p>
    <w:p>
      <w:pPr>
        <w:pStyle w:val="6"/>
        <w:keepNext/>
        <w:keepLines/>
        <w:pageBreakBefore w:val="0"/>
        <w:widowControl w:val="0"/>
        <w:numPr>
          <w:ilvl w:val="0"/>
          <w:numId w:val="9"/>
        </w:numPr>
        <w:kinsoku/>
        <w:wordWrap/>
        <w:overflowPunct/>
        <w:topLinePunct w:val="0"/>
        <w:autoSpaceDE/>
        <w:autoSpaceDN/>
        <w:bidi w:val="0"/>
        <w:adjustRightInd/>
        <w:snapToGrid/>
        <w:spacing w:before="0" w:after="0" w:line="300" w:lineRule="auto"/>
        <w:ind w:left="425" w:leftChars="0" w:hanging="425"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重大（Ⅱ级）突发环境事件。</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凡符合下列情形之一的，为重大突发环境事件：</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（1）因环境污染直接导致3人以上10人以下死亡或50人以上100人以下中毒的；</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（2）因环境污染需疏散、转移群众1万人以上5万人以下的；</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（3）因环境污染造成直接经济损失2000万元以上1亿元以下的；</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（4）因环境污染造成区域生态功能部分丧失或国家重点保护野生动植物种群大批死亡的；</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（5）因环境污染造成县级城市集中式饮用水水源地取水中断的；</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6）重金属污染或危险化学品生产、贮运、使用过程中发生爆炸、泄漏等事件，或因倾倒、堆放、丢弃、遗撒危险废物等造成的突发环境事件发生在国家重点流域、国家级自然保护区、风景名胜区或居民聚集区、医院、学校等敏感区域的；</w:t>
      </w:r>
    </w:p>
    <w:p>
      <w:pPr>
        <w:pStyle w:val="6"/>
        <w:keepNext/>
        <w:keepLines/>
        <w:pageBreakBefore w:val="0"/>
        <w:widowControl w:val="0"/>
        <w:numPr>
          <w:ilvl w:val="0"/>
          <w:numId w:val="9"/>
        </w:numPr>
        <w:kinsoku/>
        <w:wordWrap/>
        <w:overflowPunct/>
        <w:topLinePunct w:val="0"/>
        <w:autoSpaceDE/>
        <w:autoSpaceDN/>
        <w:bidi w:val="0"/>
        <w:adjustRightInd/>
        <w:snapToGrid/>
        <w:spacing w:before="0" w:after="0" w:line="300" w:lineRule="auto"/>
        <w:ind w:left="425" w:leftChars="0" w:hanging="425"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较大（Ⅲ级）突发环境事件。</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凡符合下列情形之一的，为较大突发环境事件：</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（1）因环境污染直接导致3人以下死亡或10人以上50人以下中毒的；</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（2）因环境污染需疏散、转移群众5000人以上1万人以下的；</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（3）因环境污染造成直接经济损失500万元以上2000万元以下的；</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（4）因环境污染造成国家重点保护的动植物物种受到破坏的；</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（5）因环境污染造成乡镇集中式饮用水水源地取水中断的；</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（6）跨地市界突发环境事件。</w:t>
      </w:r>
    </w:p>
    <w:p>
      <w:pPr>
        <w:pStyle w:val="6"/>
        <w:keepNext/>
        <w:keepLines/>
        <w:pageBreakBefore w:val="0"/>
        <w:widowControl w:val="0"/>
        <w:numPr>
          <w:ilvl w:val="0"/>
          <w:numId w:val="9"/>
        </w:numPr>
        <w:kinsoku/>
        <w:wordWrap/>
        <w:overflowPunct/>
        <w:topLinePunct w:val="0"/>
        <w:autoSpaceDE/>
        <w:autoSpaceDN/>
        <w:bidi w:val="0"/>
        <w:adjustRightInd/>
        <w:snapToGrid/>
        <w:spacing w:before="0" w:after="0" w:line="300" w:lineRule="auto"/>
        <w:ind w:left="425" w:leftChars="0" w:hanging="425" w:firstLineChars="0"/>
        <w:textAlignment w:val="auto"/>
        <w:rPr>
          <w:rFonts w:hint="eastAsia" w:ascii="仿宋" w:hAnsi="仿宋" w:eastAsia="仿宋" w:cs="仿宋"/>
          <w:b w:val="0"/>
          <w:bCs w:val="0"/>
          <w:lang w:val="en-US" w:eastAsia="zh-CN"/>
        </w:rPr>
      </w:pPr>
      <w:r>
        <w:rPr>
          <w:rFonts w:hint="eastAsia" w:ascii="仿宋" w:hAnsi="仿宋" w:eastAsia="仿宋" w:cs="仿宋"/>
          <w:b w:val="0"/>
          <w:bCs w:val="0"/>
          <w:lang w:val="en-US" w:eastAsia="zh-CN"/>
        </w:rPr>
        <w:t>一般（Ⅳ级）突发环境事件</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除特别重大突发环境事件、重大突发环境事件、较大突发环境事件以外的突发环境事件。</w:t>
      </w:r>
    </w:p>
    <w:p>
      <w:pPr>
        <w:pStyle w:val="124"/>
        <w:ind w:firstLine="560"/>
        <w:rPr>
          <w:rFonts w:hint="eastAsia"/>
        </w:rPr>
      </w:pPr>
      <w:r>
        <w:rPr>
          <w:rFonts w:hint="eastAsia"/>
        </w:rPr>
        <w:t>参照《国家突发环境事件应急预案》的事件分级方法并按照突发环境事件严重性和紧急程度以及新疆福克油品股份有限公司实际情况，将我公司突发环境事件分为较大（Ⅲ级）和一般（Ⅳ级）</w:t>
      </w:r>
      <w:r>
        <w:rPr>
          <w:rFonts w:hint="eastAsia"/>
          <w:lang w:eastAsia="zh-CN"/>
        </w:rPr>
        <w:t>，</w:t>
      </w:r>
      <w:r>
        <w:rPr>
          <w:rFonts w:hint="eastAsia"/>
          <w:lang w:val="en-US" w:eastAsia="zh-CN"/>
        </w:rPr>
        <w:t>如表1-1。其中</w:t>
      </w:r>
      <w:r>
        <w:rPr>
          <w:rFonts w:hint="eastAsia"/>
        </w:rPr>
        <w:t>较大（Ⅲ级）等级</w:t>
      </w:r>
      <w:r>
        <w:rPr>
          <w:rFonts w:hint="eastAsia"/>
          <w:lang w:val="en-US" w:eastAsia="zh-CN"/>
        </w:rPr>
        <w:t>且事故状态不可控时，</w:t>
      </w:r>
      <w:r>
        <w:rPr>
          <w:rFonts w:hint="eastAsia"/>
        </w:rPr>
        <w:t>与上级主管部门、上级政府相连接、需上级生态环境部门及政府介入，应急指挥权应移交，</w:t>
      </w:r>
      <w:r>
        <w:rPr>
          <w:rFonts w:hint="eastAsia"/>
          <w:lang w:val="en-US" w:eastAsia="zh-CN"/>
        </w:rPr>
        <w:t>厂区</w:t>
      </w:r>
      <w:r>
        <w:rPr>
          <w:rFonts w:hint="eastAsia"/>
        </w:rPr>
        <w:t>内部各救援小组应全部听从上级部门级政府的指挥。一般（Ⅳ级）等级与突发事件总体应急预案相连接，由</w:t>
      </w:r>
      <w:r>
        <w:rPr>
          <w:rFonts w:hint="eastAsia"/>
          <w:lang w:val="en-US" w:eastAsia="zh-CN"/>
        </w:rPr>
        <w:t>本厂</w:t>
      </w:r>
      <w:r>
        <w:rPr>
          <w:rFonts w:hint="eastAsia"/>
        </w:rPr>
        <w:t>进行应急处理。</w:t>
      </w:r>
    </w:p>
    <w:p>
      <w:pPr>
        <w:pStyle w:val="139"/>
        <w:spacing w:after="48"/>
        <w:jc w:val="both"/>
      </w:pPr>
      <w:r>
        <w:rPr>
          <w:rFonts w:hint="eastAsia"/>
        </w:rPr>
        <w:t>表</w:t>
      </w:r>
      <w:r>
        <w:t xml:space="preserve">1-1  </w:t>
      </w:r>
      <w:r>
        <w:rPr>
          <w:rFonts w:hint="eastAsia"/>
        </w:rPr>
        <w:t>新疆福克油品股份有限公司按突发环境事件情况进行事件分级表</w:t>
      </w:r>
    </w:p>
    <w:tbl>
      <w:tblPr>
        <w:tblStyle w:val="41"/>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5915"/>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14" w:type="dxa"/>
            <w:shd w:val="clear" w:color="auto" w:fill="auto"/>
            <w:vAlign w:val="center"/>
          </w:tcPr>
          <w:p>
            <w:pPr>
              <w:pStyle w:val="174"/>
              <w:rPr>
                <w:rFonts w:hint="eastAsia" w:ascii="仿宋" w:hAnsi="仿宋" w:eastAsia="仿宋" w:cs="仿宋"/>
                <w:sz w:val="21"/>
                <w:szCs w:val="21"/>
              </w:rPr>
            </w:pPr>
            <w:bookmarkStart w:id="34" w:name="_Toc463949085"/>
            <w:r>
              <w:rPr>
                <w:rFonts w:hint="eastAsia" w:ascii="仿宋" w:hAnsi="仿宋" w:eastAsia="仿宋" w:cs="仿宋"/>
                <w:sz w:val="21"/>
                <w:szCs w:val="21"/>
              </w:rPr>
              <w:t>序号</w:t>
            </w:r>
          </w:p>
        </w:tc>
        <w:tc>
          <w:tcPr>
            <w:tcW w:w="5915" w:type="dxa"/>
            <w:shd w:val="clear" w:color="auto" w:fill="auto"/>
            <w:vAlign w:val="center"/>
          </w:tcPr>
          <w:p>
            <w:pPr>
              <w:pStyle w:val="174"/>
              <w:rPr>
                <w:rFonts w:hint="eastAsia" w:ascii="仿宋" w:hAnsi="仿宋" w:eastAsia="仿宋" w:cs="仿宋"/>
                <w:sz w:val="21"/>
                <w:szCs w:val="21"/>
              </w:rPr>
            </w:pPr>
            <w:r>
              <w:rPr>
                <w:rFonts w:hint="eastAsia" w:ascii="仿宋" w:hAnsi="仿宋" w:eastAsia="仿宋" w:cs="仿宋"/>
                <w:sz w:val="21"/>
                <w:szCs w:val="21"/>
              </w:rPr>
              <w:t>对应的相关情形</w:t>
            </w:r>
          </w:p>
        </w:tc>
        <w:tc>
          <w:tcPr>
            <w:tcW w:w="1871" w:type="dxa"/>
            <w:shd w:val="clear" w:color="auto" w:fill="auto"/>
            <w:vAlign w:val="center"/>
          </w:tcPr>
          <w:p>
            <w:pPr>
              <w:pStyle w:val="174"/>
              <w:rPr>
                <w:rFonts w:hint="eastAsia" w:ascii="仿宋" w:hAnsi="仿宋" w:eastAsia="仿宋" w:cs="仿宋"/>
                <w:sz w:val="21"/>
                <w:szCs w:val="21"/>
              </w:rPr>
            </w:pPr>
            <w:r>
              <w:rPr>
                <w:rFonts w:hint="eastAsia" w:ascii="仿宋" w:hAnsi="仿宋" w:eastAsia="仿宋" w:cs="仿宋"/>
                <w:sz w:val="21"/>
                <w:szCs w:val="21"/>
              </w:rPr>
              <w:t>事件分级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14" w:type="dxa"/>
            <w:shd w:val="clear" w:color="auto" w:fill="auto"/>
            <w:vAlign w:val="center"/>
          </w:tcPr>
          <w:p>
            <w:pPr>
              <w:pStyle w:val="174"/>
              <w:rPr>
                <w:rFonts w:hint="eastAsia" w:ascii="仿宋" w:hAnsi="仿宋" w:eastAsia="仿宋" w:cs="仿宋"/>
                <w:sz w:val="21"/>
                <w:szCs w:val="21"/>
              </w:rPr>
            </w:pPr>
            <w:r>
              <w:rPr>
                <w:rFonts w:hint="eastAsia" w:ascii="仿宋" w:hAnsi="仿宋" w:eastAsia="仿宋" w:cs="仿宋"/>
                <w:sz w:val="21"/>
                <w:szCs w:val="21"/>
              </w:rPr>
              <w:t>1</w:t>
            </w:r>
          </w:p>
        </w:tc>
        <w:tc>
          <w:tcPr>
            <w:tcW w:w="5915" w:type="dxa"/>
            <w:shd w:val="clear" w:color="auto" w:fill="auto"/>
            <w:vAlign w:val="center"/>
          </w:tcPr>
          <w:p>
            <w:pPr>
              <w:spacing w:line="240" w:lineRule="auto"/>
              <w:ind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（1）天然气发生火灾爆炸、储油罐着火等环境污染突发事件造成3人以上死亡、10人以下死亡，中毒（重伤）50人以下的应急事件。</w:t>
            </w:r>
          </w:p>
          <w:p>
            <w:pPr>
              <w:spacing w:line="240" w:lineRule="auto"/>
              <w:ind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（2）其他事故发生后，后果有可能继续扩大的。</w:t>
            </w:r>
          </w:p>
          <w:p>
            <w:pPr>
              <w:pStyle w:val="174"/>
              <w:jc w:val="both"/>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）遇地震或洪水等特大自然灾害时。</w:t>
            </w:r>
          </w:p>
        </w:tc>
        <w:tc>
          <w:tcPr>
            <w:tcW w:w="1871" w:type="dxa"/>
            <w:shd w:val="clear" w:color="auto" w:fill="auto"/>
            <w:vAlign w:val="center"/>
          </w:tcPr>
          <w:p>
            <w:pPr>
              <w:pStyle w:val="174"/>
              <w:rPr>
                <w:rFonts w:hint="eastAsia" w:ascii="仿宋" w:hAnsi="仿宋" w:eastAsia="仿宋" w:cs="仿宋"/>
                <w:sz w:val="21"/>
                <w:szCs w:val="21"/>
              </w:rPr>
            </w:pPr>
            <w:r>
              <w:rPr>
                <w:rFonts w:hint="eastAsia" w:ascii="仿宋" w:hAnsi="仿宋" w:eastAsia="仿宋" w:cs="仿宋"/>
                <w:sz w:val="21"/>
                <w:szCs w:val="21"/>
              </w:rPr>
              <w:t>特别重大（</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 1 \* ROMAN </w:instrText>
            </w:r>
            <w:r>
              <w:rPr>
                <w:rFonts w:hint="eastAsia" w:ascii="仿宋" w:hAnsi="仿宋" w:eastAsia="仿宋" w:cs="仿宋"/>
                <w:sz w:val="21"/>
                <w:szCs w:val="21"/>
              </w:rPr>
              <w:fldChar w:fldCharType="separate"/>
            </w:r>
            <w:r>
              <w:rPr>
                <w:rFonts w:hint="eastAsia" w:ascii="仿宋" w:hAnsi="仿宋" w:eastAsia="仿宋" w:cs="仿宋"/>
                <w:sz w:val="21"/>
                <w:szCs w:val="21"/>
              </w:rPr>
              <w:t>I</w:t>
            </w:r>
            <w:r>
              <w:rPr>
                <w:rFonts w:hint="eastAsia" w:ascii="仿宋" w:hAnsi="仿宋" w:eastAsia="仿宋" w:cs="仿宋"/>
                <w:sz w:val="21"/>
                <w:szCs w:val="21"/>
              </w:rPr>
              <w:fldChar w:fldCharType="end"/>
            </w:r>
            <w:r>
              <w:rPr>
                <w:rFonts w:hint="eastAsia" w:ascii="仿宋" w:hAnsi="仿宋" w:eastAsia="仿宋" w:cs="仿宋"/>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14" w:type="dxa"/>
            <w:shd w:val="clear" w:color="auto" w:fill="auto"/>
            <w:vAlign w:val="center"/>
          </w:tcPr>
          <w:p>
            <w:pPr>
              <w:pStyle w:val="174"/>
              <w:rPr>
                <w:rFonts w:hint="eastAsia" w:ascii="仿宋" w:hAnsi="仿宋" w:eastAsia="仿宋" w:cs="仿宋"/>
                <w:sz w:val="21"/>
                <w:szCs w:val="21"/>
              </w:rPr>
            </w:pPr>
            <w:r>
              <w:rPr>
                <w:rFonts w:hint="eastAsia" w:ascii="仿宋" w:hAnsi="仿宋" w:eastAsia="仿宋" w:cs="仿宋"/>
                <w:sz w:val="21"/>
                <w:szCs w:val="21"/>
              </w:rPr>
              <w:t>2</w:t>
            </w:r>
          </w:p>
        </w:tc>
        <w:tc>
          <w:tcPr>
            <w:tcW w:w="5915" w:type="dxa"/>
            <w:vAlign w:val="center"/>
          </w:tcPr>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kern w:val="2"/>
                <w:sz w:val="21"/>
                <w:szCs w:val="21"/>
                <w:lang w:val="en-US" w:eastAsia="zh-CN" w:bidi="ar-SA"/>
              </w:rPr>
              <w:t>天然气发生火灾爆炸、储油罐着火</w:t>
            </w:r>
            <w:r>
              <w:rPr>
                <w:rFonts w:hint="eastAsia" w:ascii="仿宋" w:hAnsi="仿宋" w:eastAsia="仿宋" w:cs="仿宋"/>
                <w:sz w:val="21"/>
                <w:szCs w:val="21"/>
              </w:rPr>
              <w:t>等环境污染造成区域及周边区域500人以下疏散的应急事件。</w:t>
            </w:r>
          </w:p>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kern w:val="2"/>
                <w:sz w:val="21"/>
                <w:szCs w:val="21"/>
                <w:lang w:val="en-US" w:eastAsia="zh-CN" w:bidi="ar-SA"/>
              </w:rPr>
              <w:t>天然气发生火灾爆炸、储油罐着火</w:t>
            </w:r>
            <w:r>
              <w:rPr>
                <w:rFonts w:hint="eastAsia" w:ascii="仿宋" w:hAnsi="仿宋" w:eastAsia="仿宋" w:cs="仿宋"/>
                <w:sz w:val="21"/>
                <w:szCs w:val="21"/>
              </w:rPr>
              <w:t>等环境污染突发事件造成10人以下重伤的应急事件。</w:t>
            </w:r>
          </w:p>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（3）环境污染事件危害影响到周边地区、经自救、抢险或一般救援不能迅速予以控制，并有进一步扩大或发展趋势的污染事故。</w:t>
            </w:r>
          </w:p>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（4）遇地震、洪水等重大自然灾害时。</w:t>
            </w:r>
          </w:p>
          <w:p>
            <w:pPr>
              <w:pStyle w:val="2"/>
              <w:autoSpaceDE/>
              <w:autoSpaceDN/>
              <w:adjustRightInd/>
              <w:rPr>
                <w:rFonts w:hint="eastAsia" w:ascii="仿宋" w:hAnsi="仿宋" w:eastAsia="仿宋" w:cs="仿宋"/>
                <w:sz w:val="21"/>
                <w:szCs w:val="21"/>
              </w:rPr>
            </w:pPr>
            <w:r>
              <w:rPr>
                <w:rFonts w:hint="eastAsia" w:ascii="仿宋" w:hAnsi="仿宋" w:eastAsia="仿宋" w:cs="仿宋"/>
                <w:sz w:val="21"/>
                <w:szCs w:val="21"/>
              </w:rPr>
              <w:t>（5）项目区发生火灾产生有毒有害烟气，未出现进一步扩散的趋势。</w:t>
            </w:r>
          </w:p>
          <w:p>
            <w:pPr>
              <w:pStyle w:val="174"/>
              <w:jc w:val="both"/>
              <w:rPr>
                <w:rFonts w:hint="eastAsia" w:ascii="仿宋" w:hAnsi="仿宋" w:eastAsia="仿宋" w:cs="仿宋"/>
                <w:sz w:val="21"/>
                <w:szCs w:val="21"/>
              </w:rPr>
            </w:pPr>
            <w:r>
              <w:rPr>
                <w:rFonts w:hint="eastAsia" w:ascii="仿宋" w:hAnsi="仿宋" w:eastAsia="仿宋" w:cs="仿宋"/>
                <w:sz w:val="21"/>
                <w:szCs w:val="21"/>
              </w:rPr>
              <w:t>（6）Ⅲ、Ⅳ级事故发生后，后果有可能继续扩散的</w:t>
            </w:r>
          </w:p>
        </w:tc>
        <w:tc>
          <w:tcPr>
            <w:tcW w:w="1871" w:type="dxa"/>
            <w:shd w:val="clear" w:color="auto" w:fill="auto"/>
            <w:vAlign w:val="center"/>
          </w:tcPr>
          <w:p>
            <w:pPr>
              <w:pStyle w:val="174"/>
              <w:rPr>
                <w:rFonts w:hint="eastAsia" w:ascii="仿宋" w:hAnsi="仿宋" w:eastAsia="仿宋" w:cs="仿宋"/>
                <w:sz w:val="21"/>
                <w:szCs w:val="21"/>
              </w:rPr>
            </w:pPr>
            <w:r>
              <w:rPr>
                <w:rFonts w:hint="eastAsia" w:ascii="仿宋" w:hAnsi="仿宋" w:eastAsia="仿宋" w:cs="仿宋"/>
                <w:sz w:val="21"/>
                <w:szCs w:val="21"/>
              </w:rPr>
              <w:t>重大（Ⅱ级）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14" w:type="dxa"/>
            <w:shd w:val="clear" w:color="auto" w:fill="auto"/>
            <w:vAlign w:val="center"/>
          </w:tcPr>
          <w:p>
            <w:pPr>
              <w:pStyle w:val="174"/>
              <w:rPr>
                <w:rFonts w:hint="eastAsia" w:ascii="仿宋" w:hAnsi="仿宋" w:eastAsia="仿宋" w:cs="仿宋"/>
                <w:sz w:val="21"/>
                <w:szCs w:val="21"/>
              </w:rPr>
            </w:pPr>
            <w:r>
              <w:rPr>
                <w:rFonts w:hint="eastAsia" w:ascii="仿宋" w:hAnsi="仿宋" w:eastAsia="仿宋" w:cs="仿宋"/>
                <w:sz w:val="21"/>
                <w:szCs w:val="21"/>
              </w:rPr>
              <w:t>3</w:t>
            </w:r>
          </w:p>
        </w:tc>
        <w:tc>
          <w:tcPr>
            <w:tcW w:w="5915" w:type="dxa"/>
            <w:shd w:val="clear" w:color="auto" w:fill="auto"/>
            <w:vAlign w:val="center"/>
          </w:tcPr>
          <w:p>
            <w:pPr>
              <w:pStyle w:val="174"/>
              <w:jc w:val="left"/>
              <w:rPr>
                <w:rFonts w:hint="eastAsia" w:ascii="仿宋" w:hAnsi="仿宋" w:eastAsia="仿宋" w:cs="仿宋"/>
                <w:sz w:val="21"/>
                <w:szCs w:val="21"/>
              </w:rPr>
            </w:pPr>
            <w:r>
              <w:rPr>
                <w:rFonts w:hint="eastAsia" w:ascii="仿宋" w:hAnsi="仿宋" w:eastAsia="仿宋" w:cs="仿宋"/>
                <w:sz w:val="21"/>
                <w:szCs w:val="21"/>
              </w:rPr>
              <w:t>（1）天然气发生火灾爆炸、</w:t>
            </w:r>
            <w:r>
              <w:rPr>
                <w:rFonts w:hint="eastAsia" w:ascii="仿宋" w:hAnsi="仿宋" w:eastAsia="仿宋" w:cs="仿宋"/>
                <w:kern w:val="2"/>
                <w:sz w:val="21"/>
                <w:szCs w:val="21"/>
                <w:lang w:val="en-US" w:eastAsia="zh-CN" w:bidi="ar-SA"/>
              </w:rPr>
              <w:t>储油罐着火</w:t>
            </w:r>
            <w:r>
              <w:rPr>
                <w:rFonts w:hint="eastAsia" w:ascii="仿宋" w:hAnsi="仿宋" w:eastAsia="仿宋" w:cs="仿宋"/>
                <w:sz w:val="21"/>
                <w:szCs w:val="21"/>
              </w:rPr>
              <w:t>等环境污染造成人员出现严重伤害的</w:t>
            </w:r>
            <w:r>
              <w:rPr>
                <w:rFonts w:hint="eastAsia" w:ascii="仿宋" w:hAnsi="仿宋" w:cs="仿宋"/>
                <w:sz w:val="21"/>
                <w:szCs w:val="21"/>
                <w:lang w:val="en-US" w:eastAsia="zh-CN"/>
              </w:rPr>
              <w:t>.</w:t>
            </w:r>
          </w:p>
          <w:p>
            <w:pPr>
              <w:pStyle w:val="174"/>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cs="仿宋"/>
                <w:sz w:val="21"/>
                <w:szCs w:val="21"/>
                <w:lang w:val="en-US" w:eastAsia="zh-CN"/>
              </w:rPr>
              <w:t>2</w:t>
            </w:r>
            <w:r>
              <w:rPr>
                <w:rFonts w:hint="eastAsia" w:ascii="仿宋" w:hAnsi="仿宋" w:eastAsia="仿宋" w:cs="仿宋"/>
                <w:sz w:val="21"/>
                <w:szCs w:val="21"/>
              </w:rPr>
              <w:t>）仪器设备不能正常运行或出现故障；</w:t>
            </w:r>
          </w:p>
        </w:tc>
        <w:tc>
          <w:tcPr>
            <w:tcW w:w="1871" w:type="dxa"/>
            <w:shd w:val="clear" w:color="auto" w:fill="auto"/>
            <w:vAlign w:val="center"/>
          </w:tcPr>
          <w:p>
            <w:pPr>
              <w:pStyle w:val="174"/>
              <w:rPr>
                <w:rFonts w:hint="eastAsia" w:ascii="仿宋" w:hAnsi="仿宋" w:eastAsia="仿宋" w:cs="仿宋"/>
                <w:sz w:val="21"/>
                <w:szCs w:val="21"/>
              </w:rPr>
            </w:pPr>
            <w:r>
              <w:rPr>
                <w:rFonts w:hint="eastAsia" w:ascii="仿宋" w:hAnsi="仿宋" w:eastAsia="仿宋" w:cs="仿宋"/>
                <w:sz w:val="21"/>
                <w:szCs w:val="21"/>
              </w:rPr>
              <w:t>较大（Ⅲ级）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14" w:type="dxa"/>
            <w:shd w:val="clear" w:color="auto" w:fill="auto"/>
            <w:vAlign w:val="center"/>
          </w:tcPr>
          <w:p>
            <w:pPr>
              <w:pStyle w:val="174"/>
              <w:rPr>
                <w:rFonts w:hint="eastAsia" w:ascii="仿宋" w:hAnsi="仿宋" w:eastAsia="仿宋" w:cs="仿宋"/>
                <w:sz w:val="21"/>
                <w:szCs w:val="21"/>
              </w:rPr>
            </w:pPr>
            <w:r>
              <w:rPr>
                <w:rFonts w:hint="eastAsia" w:ascii="仿宋" w:hAnsi="仿宋" w:eastAsia="仿宋" w:cs="仿宋"/>
                <w:sz w:val="21"/>
                <w:szCs w:val="21"/>
              </w:rPr>
              <w:t>4</w:t>
            </w:r>
          </w:p>
        </w:tc>
        <w:tc>
          <w:tcPr>
            <w:tcW w:w="5915" w:type="dxa"/>
          </w:tcPr>
          <w:p>
            <w:pPr>
              <w:pStyle w:val="129"/>
              <w:numPr>
                <w:ilvl w:val="0"/>
                <w:numId w:val="10"/>
              </w:numPr>
              <w:jc w:val="left"/>
              <w:rPr>
                <w:rFonts w:hint="eastAsia" w:ascii="仿宋" w:hAnsi="仿宋" w:eastAsia="仿宋" w:cs="仿宋"/>
                <w:sz w:val="21"/>
                <w:szCs w:val="21"/>
              </w:rPr>
            </w:pPr>
            <w:r>
              <w:rPr>
                <w:rFonts w:hint="eastAsia" w:ascii="仿宋" w:hAnsi="仿宋" w:eastAsia="仿宋" w:cs="仿宋"/>
                <w:sz w:val="21"/>
                <w:szCs w:val="21"/>
              </w:rPr>
              <w:t>天然气发生</w:t>
            </w:r>
            <w:r>
              <w:rPr>
                <w:rFonts w:hint="eastAsia" w:ascii="仿宋" w:hAnsi="仿宋" w:cs="仿宋"/>
                <w:sz w:val="21"/>
                <w:szCs w:val="21"/>
                <w:lang w:eastAsia="zh-CN"/>
              </w:rPr>
              <w:t>泄漏</w:t>
            </w:r>
            <w:r>
              <w:rPr>
                <w:rFonts w:hint="eastAsia" w:ascii="仿宋" w:hAnsi="仿宋" w:eastAsia="仿宋" w:cs="仿宋"/>
                <w:sz w:val="21"/>
                <w:szCs w:val="21"/>
              </w:rPr>
              <w:t>、</w:t>
            </w:r>
            <w:r>
              <w:rPr>
                <w:rFonts w:hint="eastAsia" w:ascii="仿宋" w:hAnsi="仿宋" w:eastAsia="仿宋" w:cs="仿宋"/>
                <w:kern w:val="2"/>
                <w:sz w:val="21"/>
                <w:szCs w:val="21"/>
                <w:lang w:val="en-US" w:eastAsia="zh-CN" w:bidi="ar-SA"/>
              </w:rPr>
              <w:t>储油罐</w:t>
            </w:r>
            <w:r>
              <w:rPr>
                <w:rFonts w:hint="eastAsia" w:ascii="仿宋" w:hAnsi="仿宋" w:cs="仿宋"/>
                <w:kern w:val="2"/>
                <w:sz w:val="21"/>
                <w:szCs w:val="21"/>
                <w:lang w:val="en-US" w:eastAsia="zh-CN" w:bidi="ar-SA"/>
              </w:rPr>
              <w:t>泄漏</w:t>
            </w:r>
            <w:r>
              <w:rPr>
                <w:rFonts w:hint="eastAsia" w:ascii="仿宋" w:hAnsi="仿宋" w:eastAsia="仿宋" w:cs="仿宋"/>
                <w:sz w:val="21"/>
                <w:szCs w:val="21"/>
              </w:rPr>
              <w:t>等</w:t>
            </w:r>
            <w:r>
              <w:rPr>
                <w:rFonts w:hint="eastAsia" w:ascii="仿宋" w:hAnsi="仿宋" w:cs="仿宋"/>
                <w:sz w:val="21"/>
                <w:szCs w:val="21"/>
                <w:lang w:eastAsia="zh-CN"/>
              </w:rPr>
              <w:t>相关人员即可处置的泄露事故。</w:t>
            </w:r>
          </w:p>
          <w:p>
            <w:pPr>
              <w:pStyle w:val="129"/>
              <w:numPr>
                <w:ilvl w:val="0"/>
                <w:numId w:val="10"/>
              </w:numPr>
              <w:jc w:val="left"/>
              <w:rPr>
                <w:rFonts w:hint="eastAsia" w:ascii="仿宋" w:hAnsi="仿宋" w:eastAsia="仿宋" w:cs="仿宋"/>
                <w:sz w:val="21"/>
                <w:szCs w:val="21"/>
              </w:rPr>
            </w:pPr>
            <w:r>
              <w:rPr>
                <w:rFonts w:hint="eastAsia" w:ascii="仿宋" w:hAnsi="仿宋" w:eastAsia="仿宋" w:cs="仿宋"/>
                <w:sz w:val="21"/>
                <w:szCs w:val="21"/>
              </w:rPr>
              <w:t>仪器设备运行不达标时；</w:t>
            </w:r>
          </w:p>
        </w:tc>
        <w:tc>
          <w:tcPr>
            <w:tcW w:w="1871" w:type="dxa"/>
            <w:shd w:val="clear" w:color="auto" w:fill="auto"/>
            <w:vAlign w:val="center"/>
          </w:tcPr>
          <w:p>
            <w:pPr>
              <w:pStyle w:val="174"/>
              <w:rPr>
                <w:rFonts w:hint="eastAsia" w:ascii="仿宋" w:hAnsi="仿宋" w:eastAsia="仿宋" w:cs="仿宋"/>
                <w:sz w:val="21"/>
                <w:szCs w:val="21"/>
              </w:rPr>
            </w:pPr>
            <w:r>
              <w:rPr>
                <w:rFonts w:hint="eastAsia" w:ascii="仿宋" w:hAnsi="仿宋" w:eastAsia="仿宋" w:cs="仿宋"/>
                <w:sz w:val="21"/>
                <w:szCs w:val="21"/>
              </w:rPr>
              <w:t>一般（Ⅳ级）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500" w:type="dxa"/>
            <w:gridSpan w:val="3"/>
            <w:shd w:val="clear" w:color="auto" w:fill="auto"/>
            <w:vAlign w:val="center"/>
          </w:tcPr>
          <w:p>
            <w:pPr>
              <w:pStyle w:val="174"/>
              <w:rPr>
                <w:rFonts w:hint="eastAsia" w:ascii="仿宋" w:hAnsi="仿宋" w:eastAsia="仿宋" w:cs="仿宋"/>
                <w:sz w:val="21"/>
                <w:szCs w:val="21"/>
              </w:rPr>
            </w:pPr>
            <w:r>
              <w:rPr>
                <w:rFonts w:hint="eastAsia" w:ascii="仿宋" w:hAnsi="仿宋" w:eastAsia="仿宋" w:cs="仿宋"/>
                <w:sz w:val="21"/>
                <w:szCs w:val="21"/>
              </w:rPr>
              <w:t>注：上述各等级中凡符合所列情形之一的，即为对应的突发环境事件级别。</w:t>
            </w:r>
          </w:p>
        </w:tc>
      </w:tr>
    </w:tbl>
    <w:p>
      <w:pPr>
        <w:pStyle w:val="142"/>
        <w:spacing w:before="120"/>
      </w:pPr>
    </w:p>
    <w:p>
      <w:pPr>
        <w:pStyle w:val="131"/>
      </w:pPr>
      <w:bookmarkStart w:id="35" w:name="_Toc505945677"/>
      <w:bookmarkStart w:id="36" w:name="_Toc7903"/>
      <w:bookmarkStart w:id="37" w:name="_Toc20997"/>
      <w:r>
        <w:rPr>
          <w:rFonts w:hint="eastAsia"/>
        </w:rPr>
        <w:t>适用范围</w:t>
      </w:r>
      <w:bookmarkEnd w:id="27"/>
      <w:bookmarkEnd w:id="28"/>
      <w:bookmarkEnd w:id="34"/>
      <w:bookmarkEnd w:id="35"/>
      <w:bookmarkEnd w:id="36"/>
      <w:bookmarkEnd w:id="37"/>
    </w:p>
    <w:p>
      <w:pPr>
        <w:pStyle w:val="124"/>
        <w:ind w:firstLine="560"/>
      </w:pPr>
      <w:r>
        <w:rPr>
          <w:rFonts w:hint="eastAsia"/>
        </w:rPr>
        <w:t>本预案适用于新疆福克油品股份有限公司厂区范围内发生或者可能发生的突发环境事件，主要包括：</w:t>
      </w:r>
    </w:p>
    <w:p>
      <w:pPr>
        <w:pStyle w:val="124"/>
        <w:ind w:firstLine="560"/>
      </w:pPr>
      <w:bookmarkStart w:id="38" w:name="_Toc58"/>
      <w:bookmarkStart w:id="39" w:name="_Toc463949086"/>
      <w:bookmarkStart w:id="40" w:name="_Toc505945678"/>
      <w:r>
        <w:rPr>
          <w:rFonts w:hint="eastAsia"/>
        </w:rPr>
        <w:t>（1）在项目区域内人为或不可抗力造成的废气、废水、固废（包括危险废物）、危险化学品、有毒化学品等环境污染破坏事件；</w:t>
      </w:r>
    </w:p>
    <w:p>
      <w:pPr>
        <w:pStyle w:val="124"/>
        <w:ind w:firstLine="560"/>
      </w:pPr>
      <w:r>
        <w:rPr>
          <w:rFonts w:hint="eastAsia"/>
        </w:rPr>
        <w:t>（2）在运营、贮存、运输、使用和处置过程中因有毒有害化学品的泄漏、扩散所造成的突发性环境污染事件；</w:t>
      </w:r>
    </w:p>
    <w:p>
      <w:pPr>
        <w:pStyle w:val="124"/>
        <w:ind w:firstLine="560"/>
      </w:pPr>
      <w:r>
        <w:rPr>
          <w:rFonts w:hint="eastAsia"/>
        </w:rPr>
        <w:t>（3）易燃易爆化学品外泄造成爆炸而产生的突发性环境污染事件；</w:t>
      </w:r>
    </w:p>
    <w:p>
      <w:pPr>
        <w:pStyle w:val="124"/>
        <w:ind w:firstLine="560"/>
      </w:pPr>
      <w:r>
        <w:rPr>
          <w:rFonts w:hint="eastAsia"/>
        </w:rPr>
        <w:t>（4）生产过程中因设备装置、污染防治设施、设备等因素发生意外事故造成的突发性环境污染事故；</w:t>
      </w:r>
    </w:p>
    <w:p>
      <w:pPr>
        <w:pStyle w:val="124"/>
        <w:ind w:firstLine="560"/>
      </w:pPr>
      <w:r>
        <w:rPr>
          <w:rFonts w:hint="eastAsia"/>
        </w:rPr>
        <w:t>（5）因遭受自然灾害而造成的可能危及人体健康的环境污染事件；</w:t>
      </w:r>
    </w:p>
    <w:p>
      <w:pPr>
        <w:pStyle w:val="124"/>
        <w:ind w:firstLine="560"/>
      </w:pPr>
      <w:r>
        <w:rPr>
          <w:rFonts w:hint="eastAsia"/>
        </w:rPr>
        <w:t xml:space="preserve">（6）其他突发性环境污染事件应急处理。 </w:t>
      </w:r>
    </w:p>
    <w:p>
      <w:pPr>
        <w:pStyle w:val="131"/>
      </w:pPr>
      <w:bookmarkStart w:id="41" w:name="_Toc12861"/>
      <w:r>
        <w:rPr>
          <w:rFonts w:hint="eastAsia"/>
        </w:rPr>
        <w:t>工作原则</w:t>
      </w:r>
      <w:bookmarkEnd w:id="38"/>
      <w:bookmarkEnd w:id="39"/>
      <w:bookmarkEnd w:id="40"/>
      <w:bookmarkEnd w:id="41"/>
      <w:r>
        <w:rPr>
          <w:rFonts w:hint="eastAsia"/>
        </w:rPr>
        <w:t xml:space="preserve"> </w:t>
      </w:r>
    </w:p>
    <w:p>
      <w:pPr>
        <w:pStyle w:val="124"/>
        <w:ind w:firstLine="560"/>
      </w:pPr>
      <w:r>
        <w:t>企业实施突发性环境事件应急预案工作时，应本着自救为主，外援为辅，统一指挥，高效协调的原则，具体如下：</w:t>
      </w:r>
    </w:p>
    <w:p>
      <w:pPr>
        <w:pStyle w:val="124"/>
        <w:ind w:firstLine="560"/>
      </w:pPr>
      <w:r>
        <w:rPr>
          <w:rFonts w:hint="eastAsia"/>
        </w:rPr>
        <w:t>（1）以人为本，安全第一</w:t>
      </w:r>
    </w:p>
    <w:p>
      <w:pPr>
        <w:pStyle w:val="124"/>
        <w:ind w:firstLine="560"/>
      </w:pPr>
      <w:r>
        <w:rPr>
          <w:rFonts w:hint="eastAsia"/>
        </w:rPr>
        <w:t>把最大限度的预防和减少工程运营突发事故造成的人员伤亡作为首要任务，切实加强应急救援人员的安全防护。充分发挥从业人员自我防护的主观能动性，充分发挥专业救援力量的骨干作用。</w:t>
      </w:r>
    </w:p>
    <w:p>
      <w:pPr>
        <w:pStyle w:val="124"/>
        <w:ind w:firstLine="560"/>
      </w:pPr>
      <w:r>
        <w:rPr>
          <w:rFonts w:hint="eastAsia"/>
        </w:rPr>
        <w:t>（2）统一领导、分级负责</w:t>
      </w:r>
    </w:p>
    <w:p>
      <w:pPr>
        <w:pStyle w:val="124"/>
        <w:ind w:firstLine="560"/>
      </w:pPr>
      <w:r>
        <w:rPr>
          <w:rFonts w:hint="eastAsia"/>
        </w:rPr>
        <w:t>在新疆福克油品股份有限公司事故应急指挥部统一领导下，各车间成员按照各自职责和权限，负责突发事故的应急管理和应急处置工作，各车间要认真履行安全生产责任主体的职责，建立健全环境事故应急工作机制。</w:t>
      </w:r>
    </w:p>
    <w:p>
      <w:pPr>
        <w:pStyle w:val="124"/>
        <w:ind w:firstLine="560"/>
      </w:pPr>
      <w:r>
        <w:rPr>
          <w:rFonts w:hint="eastAsia"/>
        </w:rPr>
        <w:t>（3）充分准备、科学求援</w:t>
      </w:r>
    </w:p>
    <w:p>
      <w:pPr>
        <w:pStyle w:val="124"/>
        <w:ind w:firstLine="560"/>
      </w:pPr>
      <w:r>
        <w:rPr>
          <w:rFonts w:hint="eastAsia"/>
        </w:rPr>
        <w:t>采用先进技术，充分发挥专家作用，实行科学民主决策，采用先进的救援装备和技术，增强应急救援能力，确保应急救援的科学、及时、有效。</w:t>
      </w:r>
    </w:p>
    <w:p>
      <w:pPr>
        <w:pStyle w:val="124"/>
        <w:ind w:firstLine="560"/>
      </w:pPr>
      <w:r>
        <w:rPr>
          <w:rFonts w:hint="eastAsia"/>
        </w:rPr>
        <w:t xml:space="preserve">（4）预防为主、平战结合 </w:t>
      </w:r>
    </w:p>
    <w:p>
      <w:pPr>
        <w:pStyle w:val="124"/>
        <w:ind w:firstLine="560"/>
      </w:pPr>
      <w:r>
        <w:rPr>
          <w:rFonts w:hint="eastAsia"/>
        </w:rPr>
        <w:t>坚持预防为主的方针，做好预防、预测和预警工作。做好常态下的风险评估、物质储备、队伍建设、装备完美、预案演练等工作。</w:t>
      </w:r>
    </w:p>
    <w:p>
      <w:pPr>
        <w:pStyle w:val="131"/>
      </w:pPr>
      <w:bookmarkStart w:id="42" w:name="_Toc27332"/>
      <w:bookmarkStart w:id="43" w:name="_Toc463949087"/>
      <w:bookmarkStart w:id="44" w:name="_Toc9906"/>
      <w:bookmarkStart w:id="45" w:name="_Toc393271538"/>
      <w:bookmarkStart w:id="46" w:name="_Toc505945679"/>
      <w:r>
        <w:t>应急预案关系说明</w:t>
      </w:r>
      <w:bookmarkEnd w:id="42"/>
      <w:bookmarkEnd w:id="43"/>
      <w:bookmarkEnd w:id="44"/>
      <w:bookmarkEnd w:id="45"/>
      <w:bookmarkEnd w:id="46"/>
    </w:p>
    <w:p>
      <w:pPr>
        <w:pStyle w:val="124"/>
        <w:ind w:firstLine="560"/>
      </w:pPr>
      <w:r>
        <w:rPr>
          <w:rFonts w:hint="eastAsia"/>
        </w:rPr>
        <w:t>1、</w:t>
      </w:r>
      <w:r>
        <w:t>应急预案体系</w:t>
      </w:r>
    </w:p>
    <w:p>
      <w:pPr>
        <w:pStyle w:val="124"/>
        <w:ind w:firstLine="560"/>
      </w:pPr>
      <w:r>
        <w:t>应急预案是一个复杂的系统工程，包括综合环境应急预案、专项环境应急预案和现场处置预案。</w:t>
      </w:r>
    </w:p>
    <w:p>
      <w:pPr>
        <w:pStyle w:val="124"/>
        <w:ind w:firstLine="560"/>
      </w:pPr>
      <w:r>
        <w:t>综合环境应急预案</w:t>
      </w:r>
      <w:r>
        <w:rPr>
          <w:rFonts w:hint="eastAsia"/>
        </w:rPr>
        <w:t>是从总体上阐述事故的应急方针、政策，应急组织结构及相关应急职责，应急行动、措施和保障等基本要求和程序，是应对各类事故的综合性文件。</w:t>
      </w:r>
      <w:r>
        <w:t>针对环境风险种类较多，可能发生多种类型突发事件的情况而编制，</w:t>
      </w:r>
      <w:r>
        <w:rPr>
          <w:rFonts w:hint="eastAsia"/>
        </w:rPr>
        <w:t>通用性内容</w:t>
      </w:r>
      <w:r>
        <w:t>，</w:t>
      </w:r>
      <w:r>
        <w:rPr>
          <w:rFonts w:hint="eastAsia"/>
        </w:rPr>
        <w:t>适</w:t>
      </w:r>
      <w:r>
        <w:t>用于应对</w:t>
      </w:r>
      <w:r>
        <w:rPr>
          <w:rFonts w:hint="eastAsia"/>
        </w:rPr>
        <w:t>各类</w:t>
      </w:r>
      <w:r>
        <w:t>突发事</w:t>
      </w:r>
      <w:r>
        <w:rPr>
          <w:rFonts w:hint="eastAsia"/>
        </w:rPr>
        <w:t>件</w:t>
      </w:r>
      <w:r>
        <w:t>的指导性文档，作为企业突发环境事故时的基本应急处置方法。</w:t>
      </w:r>
    </w:p>
    <w:p>
      <w:pPr>
        <w:pStyle w:val="124"/>
        <w:ind w:firstLine="560"/>
      </w:pPr>
      <w:r>
        <w:t>专项环境应急预案</w:t>
      </w:r>
      <w:r>
        <w:rPr>
          <w:rFonts w:hint="eastAsia"/>
        </w:rPr>
        <w:t>是针对具体的事故类别（如火灾</w:t>
      </w:r>
      <w:r>
        <w:t>爆炸</w:t>
      </w:r>
      <w:r>
        <w:rPr>
          <w:rFonts w:hint="eastAsia"/>
        </w:rPr>
        <w:t>、泄漏等事故）、危险源和应急保障而制定的计划或方案，是综合应急预案的组成部分，应按照综合应急预案的程序和要求组织制定，并作为综合应急预案的附件。专项应急预案应制定明确的救援程序和具体的应急救援措施。</w:t>
      </w:r>
    </w:p>
    <w:p>
      <w:pPr>
        <w:pStyle w:val="124"/>
        <w:ind w:firstLine="560"/>
      </w:pPr>
      <w:r>
        <w:t>现场处置预案是</w:t>
      </w:r>
      <w:r>
        <w:rPr>
          <w:rFonts w:hint="eastAsia"/>
        </w:rPr>
        <w:t>针对具体的装置、场所或设施、岗位所制定的应急处置措施。现场处置方案应具体、简单、针对性强，现场处置方案应当包括危险性分析、可能发生的事故特征、应急处置程序、应急处置要点和注意事项等内容。现场处置方案应根据风险评估及危险性控制措施逐一编制，做到事故相关人员应知应会，熟练掌握，并通过应急演练，做到迅速反应、正确处置。</w:t>
      </w:r>
    </w:p>
    <w:p>
      <w:pPr>
        <w:pStyle w:val="124"/>
        <w:ind w:firstLine="560"/>
      </w:pPr>
      <w:r>
        <w:rPr>
          <w:rFonts w:hint="eastAsia"/>
        </w:rPr>
        <w:t>2、本预案</w:t>
      </w:r>
      <w:r>
        <w:rPr>
          <w:rFonts w:hint="eastAsia"/>
          <w:lang w:val="en-US" w:eastAsia="zh-CN"/>
        </w:rPr>
        <w:t>是</w:t>
      </w:r>
      <w:r>
        <w:rPr>
          <w:rFonts w:hint="eastAsia"/>
        </w:rPr>
        <w:t>乌鲁木齐市突发环境事件应急预案的衔接</w:t>
      </w:r>
    </w:p>
    <w:p>
      <w:pPr>
        <w:pStyle w:val="124"/>
        <w:ind w:firstLine="0" w:firstLineChars="0"/>
        <w:rPr>
          <w:rFonts w:ascii="仿宋" w:hAnsi="仿宋" w:eastAsia="仿宋"/>
          <w:sz w:val="28"/>
          <w:szCs w:val="28"/>
        </w:rPr>
      </w:pPr>
      <w:r>
        <w:rPr>
          <w:rFonts w:hint="eastAsia"/>
        </w:rPr>
        <w:t xml:space="preserve">    本预案根据公司可能发生的突发环境事件的影响范围和影响程度，将突发环境事件级别，从低到高划分为班组级和厂区级。当突发环境事件达到厂区级，事件影响扩大到厂区外部时，公司立即上报市</w:t>
      </w:r>
      <w:r>
        <w:rPr>
          <w:rFonts w:hint="eastAsia"/>
          <w:lang w:eastAsia="zh-CN"/>
        </w:rPr>
        <w:t>生态环境局</w:t>
      </w:r>
      <w:r>
        <w:rPr>
          <w:rFonts w:hint="eastAsia"/>
        </w:rPr>
        <w:t>，同时积极开展先期处理。若事件进一步扩大，需要动用乌市应急救援力量才能控制，公司应立即上报市</w:t>
      </w:r>
      <w:r>
        <w:rPr>
          <w:rFonts w:hint="eastAsia"/>
          <w:lang w:val="en-US" w:eastAsia="zh-CN"/>
        </w:rPr>
        <w:t>生态环境</w:t>
      </w:r>
      <w:r>
        <w:rPr>
          <w:rFonts w:hint="eastAsia"/>
        </w:rPr>
        <w:t>局</w:t>
      </w:r>
      <w:r>
        <w:rPr>
          <w:rFonts w:hint="eastAsia"/>
          <w:lang w:eastAsia="zh-CN"/>
        </w:rPr>
        <w:t>，</w:t>
      </w:r>
      <w:r>
        <w:rPr>
          <w:rFonts w:hint="eastAsia"/>
        </w:rPr>
        <w:t>请求支援；本预案明确</w:t>
      </w:r>
      <w:r>
        <w:rPr>
          <w:rFonts w:hint="eastAsia"/>
          <w:lang w:val="en-US" w:eastAsia="zh-CN"/>
        </w:rPr>
        <w:t>应急</w:t>
      </w:r>
      <w:r>
        <w:rPr>
          <w:rFonts w:hint="eastAsia"/>
        </w:rPr>
        <w:t>响应时由</w:t>
      </w:r>
      <w:r>
        <w:rPr>
          <w:rFonts w:hint="eastAsia"/>
          <w:lang w:val="en-US" w:eastAsia="zh-CN"/>
        </w:rPr>
        <w:t>厂级</w:t>
      </w:r>
      <w:r>
        <w:rPr>
          <w:rFonts w:hint="eastAsia"/>
        </w:rPr>
        <w:t>的应急指挥部负责临时指挥，先行开展应急救援工作，政府成立现场应急指挥部时，</w:t>
      </w:r>
      <w:r>
        <w:rPr>
          <w:rFonts w:hint="eastAsia"/>
          <w:lang w:val="en-US" w:eastAsia="zh-CN"/>
        </w:rPr>
        <w:t>厂级</w:t>
      </w:r>
      <w:r>
        <w:rPr>
          <w:rFonts w:hint="eastAsia"/>
        </w:rPr>
        <w:t>的应急指挥部将应急指挥权移交政府指挥部人员指挥，介绍事故情况和已采取的应急措施，配合协助应急指挥与处置。</w:t>
      </w:r>
    </w:p>
    <w:p>
      <w:pPr>
        <w:pStyle w:val="43"/>
        <w:ind w:firstLine="883"/>
      </w:pPr>
      <w:bookmarkStart w:id="47" w:name="_Toc505945680"/>
      <w:bookmarkStart w:id="48" w:name="_Toc1457"/>
      <w:bookmarkStart w:id="49" w:name="_Toc29219"/>
      <w:bookmarkStart w:id="50" w:name="_Toc30938"/>
      <w:bookmarkStart w:id="51" w:name="_Toc15387"/>
      <w:bookmarkStart w:id="52" w:name="_Toc463949095"/>
      <w:bookmarkStart w:id="53" w:name="_Toc252003675"/>
      <w:bookmarkStart w:id="54" w:name="_Toc399770514"/>
      <w:bookmarkStart w:id="55" w:name="_Toc399769979"/>
      <w:r>
        <w:rPr>
          <w:rFonts w:hint="eastAsia"/>
        </w:rPr>
        <w:t>基本</w:t>
      </w:r>
      <w:r>
        <w:t>情况</w:t>
      </w:r>
      <w:bookmarkEnd w:id="47"/>
      <w:bookmarkEnd w:id="48"/>
      <w:bookmarkEnd w:id="49"/>
      <w:bookmarkEnd w:id="50"/>
      <w:bookmarkEnd w:id="51"/>
    </w:p>
    <w:p>
      <w:pPr>
        <w:pStyle w:val="131"/>
      </w:pPr>
      <w:bookmarkStart w:id="56" w:name="_Toc7661"/>
      <w:bookmarkStart w:id="57" w:name="_Toc505945681"/>
      <w:bookmarkStart w:id="58" w:name="_Toc26675"/>
      <w:r>
        <w:rPr>
          <w:rFonts w:hint="eastAsia"/>
        </w:rPr>
        <w:t>企业</w:t>
      </w:r>
      <w:r>
        <w:t>基本情况</w:t>
      </w:r>
      <w:bookmarkEnd w:id="56"/>
      <w:bookmarkEnd w:id="57"/>
      <w:bookmarkEnd w:id="58"/>
    </w:p>
    <w:p>
      <w:pPr>
        <w:pStyle w:val="132"/>
      </w:pPr>
      <w:bookmarkStart w:id="59" w:name="_Toc505945682"/>
      <w:bookmarkStart w:id="60" w:name="_Toc22369"/>
      <w:bookmarkStart w:id="61" w:name="_Toc4319"/>
      <w:r>
        <w:rPr>
          <w:rFonts w:hint="eastAsia"/>
        </w:rPr>
        <w:t>公司</w:t>
      </w:r>
      <w:r>
        <w:t>简介</w:t>
      </w:r>
      <w:bookmarkEnd w:id="59"/>
      <w:bookmarkEnd w:id="60"/>
      <w:bookmarkEnd w:id="61"/>
    </w:p>
    <w:p>
      <w:pPr>
        <w:pStyle w:val="124"/>
        <w:ind w:firstLine="560"/>
      </w:pPr>
      <w:r>
        <w:rPr>
          <w:rFonts w:hint="eastAsia"/>
        </w:rPr>
        <w:t>新疆福克油品股份有限公司（下称“我公司”）成立于1995年，公司总部位于乌鲁木齐头屯河工业园区，注册资本5000万元，是一家从事润滑材料生产研发销售并为客户量身订制润滑，提供全面降耗解决方案的润滑环保专业服务商。公司先后被评定为“国家火炬重点高新技术企业”、“国家创新型试点企业”，2012年7月公司的“废润滑油环保再生技术及装置”被国家环保部列入《2012年国家鼓励发展的环境保护技术目录》，2014年作为新疆第一家润滑材料行业成功在新三板挂牌。2016年 《合成型工业重负荷齿轮油的制备及应用推广》荣获新疆自治区科技进步三等奖，2017年公司的自主发明专利“润滑脂连续皂化的方法使用的装置”荣获第十九届中国专利金奖。</w:t>
      </w:r>
    </w:p>
    <w:p>
      <w:pPr>
        <w:pStyle w:val="124"/>
        <w:ind w:firstLine="560"/>
      </w:pPr>
      <w:r>
        <w:t>单位名称：</w:t>
      </w:r>
      <w:r>
        <w:rPr>
          <w:rFonts w:hint="eastAsia"/>
        </w:rPr>
        <w:t>新疆福克油品股份有限公司</w:t>
      </w:r>
    </w:p>
    <w:p>
      <w:pPr>
        <w:pStyle w:val="124"/>
        <w:ind w:firstLine="560"/>
      </w:pPr>
      <w:r>
        <w:t>组织机构代码：9165</w:t>
      </w:r>
      <w:r>
        <w:rPr>
          <w:rFonts w:hint="eastAsia"/>
        </w:rPr>
        <w:t>01006255529217</w:t>
      </w:r>
    </w:p>
    <w:p>
      <w:pPr>
        <w:pStyle w:val="124"/>
        <w:ind w:firstLine="560"/>
      </w:pPr>
      <w:r>
        <w:rPr>
          <w:rFonts w:hint="eastAsia"/>
        </w:rPr>
        <w:t>法定代表人：涂登源</w:t>
      </w:r>
    </w:p>
    <w:p>
      <w:pPr>
        <w:pStyle w:val="124"/>
        <w:ind w:firstLine="560"/>
      </w:pPr>
      <w:r>
        <w:rPr>
          <w:rFonts w:hint="eastAsia"/>
        </w:rPr>
        <w:t>地址：福克油品厂位于乌鲁木齐市头屯河工业园区内，该工业园据乌鲁木齐市政府所在地约26km，距312国道3km，距乌奎高速公路（乌鲁木齐—奎屯）1km，据乌鲁木齐国际机场7km，距全疆最大的列车编组站—火车西站8km，距全疆最大的货运储运站—火车北站10km，交通十分方便，是乌鲁木齐市发展工业的重要战略接替区。福克油品厂位于园区一期开发规划范围内，该厂背面为工业区的沙坪路，与路相隔的是新疆制药厂；厂南侧紧邻新疆四方锅炉厂；厂东侧紧邻新疆千秋金属回收有限责任公司。 厂区中心地理坐标为：东经</w:t>
      </w:r>
      <w:r>
        <w:rPr>
          <w:rFonts w:hint="eastAsia"/>
          <w:lang w:val="en-US" w:eastAsia="zh-CN"/>
        </w:rPr>
        <w:t>87</w:t>
      </w:r>
      <w:r>
        <w:rPr>
          <w:rFonts w:eastAsiaTheme="minorEastAsia"/>
          <w:sz w:val="21"/>
          <w:szCs w:val="21"/>
        </w:rPr>
        <w:t>°</w:t>
      </w:r>
      <w:r>
        <w:rPr>
          <w:rFonts w:hint="eastAsia"/>
          <w:lang w:val="en-US" w:eastAsia="zh-CN"/>
        </w:rPr>
        <w:t>23'49.36"</w:t>
      </w:r>
      <w:r>
        <w:rPr>
          <w:rFonts w:hint="eastAsia"/>
        </w:rPr>
        <w:t>，北纬43</w:t>
      </w:r>
      <w:r>
        <w:rPr>
          <w:rFonts w:eastAsiaTheme="minorEastAsia"/>
          <w:sz w:val="21"/>
          <w:szCs w:val="21"/>
        </w:rPr>
        <w:t>°</w:t>
      </w:r>
      <w:r>
        <w:rPr>
          <w:rFonts w:hint="eastAsia"/>
        </w:rPr>
        <w:t>55'12.62"。</w:t>
      </w:r>
    </w:p>
    <w:p>
      <w:pPr>
        <w:pStyle w:val="124"/>
        <w:ind w:firstLine="560"/>
      </w:pPr>
      <w:r>
        <w:t>所属行业类别：</w:t>
      </w:r>
      <w:r>
        <w:rPr>
          <w:rFonts w:hint="eastAsia"/>
        </w:rPr>
        <w:t>原油加工及石油制品制造，危险废物治理</w:t>
      </w:r>
    </w:p>
    <w:p>
      <w:pPr>
        <w:pStyle w:val="124"/>
        <w:ind w:firstLine="560"/>
      </w:pPr>
      <w:r>
        <w:t>建厂时间：</w:t>
      </w:r>
      <w:r>
        <w:rPr>
          <w:rFonts w:hint="eastAsia"/>
        </w:rPr>
        <w:t>1995</w:t>
      </w:r>
      <w:r>
        <w:t>年</w:t>
      </w:r>
      <w:r>
        <w:rPr>
          <w:rFonts w:hint="eastAsia"/>
        </w:rPr>
        <w:t>3</w:t>
      </w:r>
      <w:r>
        <w:t>月</w:t>
      </w:r>
    </w:p>
    <w:p>
      <w:pPr>
        <w:pStyle w:val="124"/>
        <w:ind w:firstLine="560"/>
        <w:rPr>
          <w:color w:val="000000" w:themeColor="text1"/>
          <w14:textFill>
            <w14:solidFill>
              <w14:schemeClr w14:val="tx1"/>
            </w14:solidFill>
          </w14:textFill>
        </w:rPr>
      </w:pPr>
      <w:r>
        <w:t>联系电话：</w:t>
      </w:r>
      <w:r>
        <w:rPr>
          <w:rFonts w:hint="eastAsia"/>
          <w:color w:val="000000" w:themeColor="text1"/>
          <w14:textFill>
            <w14:solidFill>
              <w14:schemeClr w14:val="tx1"/>
            </w14:solidFill>
          </w14:textFill>
        </w:rPr>
        <w:t>0991-</w:t>
      </w:r>
      <w:r>
        <w:rPr>
          <w:color w:val="000000" w:themeColor="text1"/>
          <w14:textFill>
            <w14:solidFill>
              <w14:schemeClr w14:val="tx1"/>
            </w14:solidFill>
          </w14:textFill>
        </w:rPr>
        <w:t>3730308</w:t>
      </w:r>
    </w:p>
    <w:p>
      <w:pPr>
        <w:pStyle w:val="124"/>
        <w:ind w:firstLine="560"/>
      </w:pPr>
      <w:r>
        <w:t>企业规模：</w:t>
      </w:r>
      <w:r>
        <w:rPr>
          <w:rFonts w:hint="eastAsia"/>
        </w:rPr>
        <w:t>年产2</w:t>
      </w:r>
      <w:r>
        <w:t>万吨/年废矿物油</w:t>
      </w:r>
      <w:r>
        <w:rPr>
          <w:rFonts w:hint="eastAsia"/>
        </w:rPr>
        <w:t>再生</w:t>
      </w:r>
      <w:r>
        <w:t>生产</w:t>
      </w:r>
      <w:r>
        <w:rPr>
          <w:rFonts w:hint="eastAsia"/>
        </w:rPr>
        <w:t>项目，年产5</w:t>
      </w:r>
      <w:r>
        <w:t>万吨/年</w:t>
      </w:r>
      <w:r>
        <w:rPr>
          <w:rFonts w:hint="eastAsia"/>
        </w:rPr>
        <w:t>润滑油调油</w:t>
      </w:r>
      <w:r>
        <w:t>生产</w:t>
      </w:r>
      <w:r>
        <w:rPr>
          <w:rFonts w:hint="eastAsia"/>
        </w:rPr>
        <w:t>项目</w:t>
      </w:r>
      <w:r>
        <w:rPr>
          <w:rFonts w:hint="eastAsia"/>
          <w:lang w:eastAsia="zh-CN"/>
        </w:rPr>
        <w:t>，</w:t>
      </w:r>
      <w:r>
        <w:rPr>
          <w:rFonts w:hint="eastAsia"/>
          <w:lang w:val="en-US" w:eastAsia="zh-CN"/>
        </w:rPr>
        <w:t>防水卷材生产线。</w:t>
      </w:r>
    </w:p>
    <w:p>
      <w:pPr>
        <w:pStyle w:val="124"/>
        <w:ind w:firstLine="560"/>
      </w:pPr>
      <w:r>
        <w:t>厂区面积：厂区总占地</w:t>
      </w:r>
      <w:r>
        <w:rPr>
          <w:rFonts w:hint="eastAsia"/>
        </w:rPr>
        <w:t>50000</w:t>
      </w:r>
      <w:r>
        <w:t>m</w:t>
      </w:r>
      <w:r>
        <w:rPr>
          <w:vertAlign w:val="superscript"/>
        </w:rPr>
        <w:t>2</w:t>
      </w:r>
    </w:p>
    <w:p>
      <w:pPr>
        <w:ind w:firstLine="260"/>
        <w:rPr>
          <w:sz w:val="13"/>
          <w:szCs w:val="13"/>
          <w:lang w:bidi="en-US"/>
        </w:rPr>
      </w:pPr>
    </w:p>
    <w:p>
      <w:pPr>
        <w:rPr>
          <w:sz w:val="13"/>
          <w:szCs w:val="13"/>
          <w:lang w:bidi="en-US"/>
        </w:rPr>
      </w:pPr>
    </w:p>
    <w:p>
      <w:pPr>
        <w:pStyle w:val="132"/>
        <w:rPr>
          <w:lang w:bidi="en-US"/>
        </w:rPr>
      </w:pPr>
      <w:bookmarkStart w:id="62" w:name="_Toc29389"/>
      <w:bookmarkStart w:id="63" w:name="_Toc31277"/>
      <w:bookmarkStart w:id="64" w:name="_Toc505945684"/>
      <w:r>
        <w:rPr>
          <w:rFonts w:hint="eastAsia"/>
          <w:lang w:bidi="en-US"/>
        </w:rPr>
        <w:t>生产</w:t>
      </w:r>
      <w:r>
        <w:rPr>
          <w:lang w:bidi="en-US"/>
        </w:rPr>
        <w:t>工艺</w:t>
      </w:r>
      <w:bookmarkEnd w:id="62"/>
      <w:bookmarkEnd w:id="63"/>
      <w:bookmarkEnd w:id="64"/>
    </w:p>
    <w:p>
      <w:pPr>
        <w:pStyle w:val="124"/>
        <w:numPr>
          <w:ilvl w:val="0"/>
          <w:numId w:val="11"/>
        </w:numPr>
        <w:ind w:firstLineChars="0"/>
      </w:pPr>
      <w:r>
        <w:rPr>
          <w:rFonts w:hint="eastAsia"/>
        </w:rPr>
        <w:t>润滑油生产工艺</w:t>
      </w:r>
    </w:p>
    <w:p>
      <w:pPr>
        <w:pStyle w:val="124"/>
        <w:ind w:firstLine="560"/>
      </w:pPr>
      <w:r>
        <w:rPr>
          <w:rFonts w:hint="eastAsia"/>
        </w:rPr>
        <w:t>将计量好的基础油和添加剂，通过调油车间的油泵打入调和釜中，使用脉冲调和装置，利用压缩空气搅拌，使基础油和添加剂完全混匀，调和好的油品，储存于调和罐中，检验合格后，经过板框式过滤机过滤，打入贮存罐中，计量进入灌装线，计量包装，检验合格后入库存放。</w:t>
      </w:r>
    </w:p>
    <w:p>
      <w:pPr>
        <w:pStyle w:val="124"/>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drawing>
          <wp:inline distT="0" distB="0" distL="114300" distR="114300">
            <wp:extent cx="5031740" cy="3342640"/>
            <wp:effectExtent l="0" t="0" r="16510" b="10160"/>
            <wp:docPr id="2" name="图片 1" descr="QQ图片20170703122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QQ图片20170703122849"/>
                    <pic:cNvPicPr>
                      <a:picLocks noChangeAspect="1"/>
                    </pic:cNvPicPr>
                  </pic:nvPicPr>
                  <pic:blipFill>
                    <a:blip r:embed="rId15"/>
                    <a:stretch>
                      <a:fillRect/>
                    </a:stretch>
                  </pic:blipFill>
                  <pic:spPr>
                    <a:xfrm>
                      <a:off x="0" y="0"/>
                      <a:ext cx="5031740" cy="3342640"/>
                    </a:xfrm>
                    <a:prstGeom prst="rect">
                      <a:avLst/>
                    </a:prstGeom>
                    <a:noFill/>
                    <a:ln w="9525">
                      <a:noFill/>
                    </a:ln>
                  </pic:spPr>
                </pic:pic>
              </a:graphicData>
            </a:graphic>
          </wp:inline>
        </w:drawing>
      </w:r>
    </w:p>
    <w:p>
      <w:pPr>
        <w:jc w:val="center"/>
        <w:rPr>
          <w:rFonts w:hint="eastAsia" w:ascii="仿宋" w:hAnsi="仿宋" w:eastAsia="仿宋" w:cs="仿宋"/>
          <w:sz w:val="24"/>
          <w:szCs w:val="24"/>
        </w:rPr>
      </w:pPr>
      <w:bookmarkStart w:id="65" w:name="_Toc481858193"/>
      <w:bookmarkStart w:id="66" w:name="_Toc20014"/>
      <w:r>
        <w:rPr>
          <w:rFonts w:hint="eastAsia" w:ascii="仿宋" w:hAnsi="仿宋" w:eastAsia="仿宋" w:cs="仿宋"/>
          <w:sz w:val="24"/>
          <w:szCs w:val="24"/>
        </w:rPr>
        <w:t>图2-1  润滑油生产工艺流程图</w:t>
      </w:r>
      <w:bookmarkEnd w:id="65"/>
      <w:bookmarkEnd w:id="66"/>
    </w:p>
    <w:p>
      <w:pPr>
        <w:pStyle w:val="124"/>
        <w:ind w:firstLine="560"/>
      </w:pPr>
    </w:p>
    <w:p>
      <w:pPr>
        <w:pStyle w:val="124"/>
        <w:numPr>
          <w:ilvl w:val="0"/>
          <w:numId w:val="11"/>
        </w:numPr>
        <w:ind w:firstLineChars="0"/>
      </w:pPr>
      <w:r>
        <w:rPr>
          <w:rFonts w:hint="eastAsia"/>
        </w:rPr>
        <w:t>润滑脂生产工艺</w:t>
      </w:r>
    </w:p>
    <w:p>
      <w:pPr>
        <w:pStyle w:val="124"/>
        <w:ind w:firstLine="560"/>
        <w:rPr>
          <w:rFonts w:hint="eastAsia"/>
        </w:rPr>
      </w:pPr>
      <w:r>
        <w:rPr>
          <w:rFonts w:hint="eastAsia"/>
        </w:rPr>
        <w:t>连续式润滑脂管式皂化工艺是将润滑脂和皂基化工原料加入具有搅拌器的原料罐内，经曲管式反应器皂化反应后、经激冷、剪切、搅拌换热脱气等操作，连续生产润滑脂的工艺技术。本技术为新疆福克油品股份有限公司自主知识产权的专利技术。</w:t>
      </w:r>
    </w:p>
    <w:p>
      <w:pPr>
        <w:pStyle w:val="124"/>
        <w:ind w:firstLine="560"/>
        <w:rPr>
          <w:rFonts w:hint="eastAsia"/>
        </w:rPr>
      </w:pPr>
    </w:p>
    <w:p>
      <w:pPr>
        <w:pStyle w:val="124"/>
        <w:ind w:firstLine="560"/>
        <w:rPr>
          <w:rFonts w:hint="eastAsia"/>
        </w:rPr>
      </w:pPr>
    </w:p>
    <w:p>
      <w:pPr>
        <w:pStyle w:val="124"/>
        <w:ind w:firstLine="560"/>
        <w:rPr>
          <w:rFonts w:hint="eastAsia"/>
        </w:rPr>
      </w:pPr>
    </w:p>
    <w:p>
      <w:pPr>
        <w:pStyle w:val="124"/>
        <w:ind w:left="0" w:leftChars="0" w:firstLine="0" w:firstLineChars="0"/>
        <w:rPr>
          <w:rFonts w:hint="eastAsia"/>
        </w:rPr>
      </w:pPr>
    </w:p>
    <w:p>
      <w:pPr>
        <w:pStyle w:val="124"/>
        <w:ind w:firstLine="560"/>
      </w:pPr>
      <w:r>
        <w:rPr>
          <w:color w:val="000000" w:themeColor="text1"/>
          <w14:textFill>
            <w14:solidFill>
              <w14:schemeClr w14:val="tx1"/>
            </w14:solidFill>
          </w14:textFill>
        </w:rPr>
        <w:drawing>
          <wp:anchor distT="0" distB="0" distL="114300" distR="114300" simplePos="0" relativeHeight="918528" behindDoc="1" locked="0" layoutInCell="1" allowOverlap="1">
            <wp:simplePos x="0" y="0"/>
            <wp:positionH relativeFrom="column">
              <wp:posOffset>951865</wp:posOffset>
            </wp:positionH>
            <wp:positionV relativeFrom="paragraph">
              <wp:posOffset>26035</wp:posOffset>
            </wp:positionV>
            <wp:extent cx="3438525" cy="4457700"/>
            <wp:effectExtent l="9525" t="9525" r="19050" b="9525"/>
            <wp:wrapNone/>
            <wp:docPr id="6"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82"/>
                    <pic:cNvPicPr>
                      <a:picLocks noChangeAspect="1"/>
                    </pic:cNvPicPr>
                  </pic:nvPicPr>
                  <pic:blipFill>
                    <a:blip r:embed="rId16"/>
                    <a:stretch>
                      <a:fillRect/>
                    </a:stretch>
                  </pic:blipFill>
                  <pic:spPr>
                    <a:xfrm>
                      <a:off x="0" y="0"/>
                      <a:ext cx="3438525" cy="4457700"/>
                    </a:xfrm>
                    <a:prstGeom prst="rect">
                      <a:avLst/>
                    </a:prstGeom>
                    <a:noFill/>
                    <a:ln w="9525" cap="flat" cmpd="sng">
                      <a:solidFill>
                        <a:srgbClr val="000000"/>
                      </a:solidFill>
                      <a:prstDash val="solid"/>
                      <a:miter/>
                      <a:headEnd type="none" w="med" len="med"/>
                      <a:tailEnd type="none" w="med" len="med"/>
                    </a:ln>
                  </pic:spPr>
                </pic:pic>
              </a:graphicData>
            </a:graphic>
          </wp:anchor>
        </w:drawing>
      </w:r>
      <w:r>
        <w:rPr>
          <w:rFonts w:hint="eastAsia"/>
        </w:rPr>
        <w:t xml:space="preserve">      </w:t>
      </w:r>
    </w:p>
    <w:p>
      <w:pPr>
        <w:pStyle w:val="124"/>
        <w:ind w:firstLine="560"/>
      </w:pPr>
    </w:p>
    <w:p/>
    <w:p/>
    <w:p/>
    <w:p/>
    <w:p/>
    <w:p/>
    <w:p/>
    <w:p/>
    <w:p/>
    <w:p/>
    <w:p/>
    <w:p/>
    <w:p/>
    <w:p/>
    <w:p/>
    <w:p/>
    <w:p/>
    <w:p/>
    <w:p/>
    <w:p/>
    <w:p/>
    <w:p/>
    <w:p/>
    <w:p/>
    <w:p>
      <w:pPr>
        <w:tabs>
          <w:tab w:val="left" w:pos="1716"/>
        </w:tabs>
        <w:jc w:val="left"/>
      </w:pPr>
      <w:r>
        <w:rPr>
          <w:rFonts w:hint="eastAsia"/>
        </w:rPr>
        <w:tab/>
      </w:r>
    </w:p>
    <w:p>
      <w:pPr>
        <w:ind w:firstLine="1920" w:firstLineChars="800"/>
        <w:rPr>
          <w:rFonts w:hint="eastAsia" w:ascii="仿宋" w:hAnsi="仿宋" w:eastAsia="仿宋" w:cs="仿宋"/>
          <w:sz w:val="24"/>
          <w:szCs w:val="24"/>
        </w:rPr>
      </w:pPr>
      <w:r>
        <w:rPr>
          <w:rFonts w:hint="eastAsia" w:ascii="仿宋" w:hAnsi="仿宋" w:eastAsia="仿宋" w:cs="仿宋"/>
          <w:sz w:val="24"/>
          <w:szCs w:val="24"/>
        </w:rPr>
        <w:t>图2-2  连续式管式皂化工艺示意图</w:t>
      </w:r>
    </w:p>
    <w:p>
      <w:pPr>
        <w:pStyle w:val="124"/>
        <w:ind w:firstLine="0" w:firstLineChars="0"/>
      </w:pPr>
    </w:p>
    <w:p>
      <w:pPr>
        <w:pStyle w:val="124"/>
        <w:numPr>
          <w:ilvl w:val="0"/>
          <w:numId w:val="11"/>
        </w:numPr>
        <w:ind w:firstLineChars="0"/>
      </w:pPr>
      <w:r>
        <w:rPr>
          <w:rFonts w:hint="eastAsia"/>
        </w:rPr>
        <w:t>废油再生工艺</w:t>
      </w:r>
    </w:p>
    <w:p>
      <w:pPr>
        <w:pStyle w:val="124"/>
        <w:ind w:firstLine="560"/>
      </w:pPr>
      <w:r>
        <w:rPr>
          <w:rFonts w:hint="eastAsia"/>
        </w:rPr>
        <w:t>本工艺方法为：废润滑油的回收→预处理→恒温擦膜薄膜蒸发器分馏→再生润滑油基础油→超临界萃取精制→润滑油调和及包装。</w:t>
      </w:r>
    </w:p>
    <w:p>
      <w:pPr>
        <w:pStyle w:val="124"/>
        <w:ind w:firstLine="560"/>
      </w:pPr>
      <w:r>
        <w:rPr>
          <w:rFonts w:hint="eastAsia"/>
        </w:rPr>
        <w:t>废润滑油收集回厂，首先被收集在油桶里，运输至厂区经过废油过滤网后进入均化池，经过滤脱机械杂质、沉降脱水脱杂质，然后由泵送入加热炉加热后送恒温擦膜薄膜蒸发器蒸发使气液分离，气化油进入分馏塔分馏、冷凝成再生润滑油基础油后，再分别进入超临界萃取精制装置进一步精制而获得合格的基础油，经调和后作为润滑油成品油销售。</w:t>
      </w:r>
    </w:p>
    <w:p>
      <w:pPr>
        <w:pStyle w:val="124"/>
        <w:numPr>
          <w:ilvl w:val="0"/>
          <w:numId w:val="12"/>
        </w:numPr>
        <w:ind w:firstLine="560"/>
        <w:rPr>
          <w:rFonts w:ascii="仿宋" w:hAnsi="仿宋" w:cs="仿宋"/>
          <w:bCs w:val="0"/>
        </w:rPr>
      </w:pPr>
      <w:r>
        <w:rPr>
          <w:rFonts w:hint="eastAsia" w:ascii="仿宋" w:hAnsi="仿宋" w:cs="仿宋"/>
          <w:bCs w:val="0"/>
        </w:rPr>
        <w:t>预处理</w:t>
      </w:r>
    </w:p>
    <w:p>
      <w:pPr>
        <w:pStyle w:val="124"/>
        <w:ind w:firstLine="560"/>
        <w:rPr>
          <w:rFonts w:ascii="仿宋" w:hAnsi="仿宋" w:cs="仿宋"/>
          <w:bCs w:val="0"/>
        </w:rPr>
      </w:pPr>
      <w:r>
        <w:rPr>
          <w:rFonts w:hint="eastAsia" w:ascii="仿宋" w:hAnsi="仿宋" w:cs="仿宋"/>
          <w:bCs w:val="0"/>
        </w:rPr>
        <w:t>外购的废润滑油通过化验室化验进行品位分析，然后通过格栅进入卸油池内，接着通过油泵送入储油罐，在储油罐内同时通过蒸汽换热加温至50℃左右，自然沉淀4h左右，进行油、水及杂质的初步分离。根据类比同类型的润滑油生产厂家，该过程分离出的油、水及杂质约为0.2%左右。经沉淀处理后的润滑油进入原料油罐以备下一步处理。</w:t>
      </w:r>
    </w:p>
    <w:p>
      <w:pPr>
        <w:pStyle w:val="124"/>
        <w:numPr>
          <w:ilvl w:val="0"/>
          <w:numId w:val="12"/>
        </w:numPr>
        <w:ind w:firstLine="560"/>
        <w:rPr>
          <w:rFonts w:ascii="仿宋" w:hAnsi="仿宋" w:cs="仿宋"/>
          <w:bCs w:val="0"/>
        </w:rPr>
      </w:pPr>
      <w:r>
        <w:rPr>
          <w:rFonts w:hint="eastAsia" w:ascii="仿宋" w:hAnsi="仿宋" w:cs="仿宋"/>
          <w:bCs w:val="0"/>
        </w:rPr>
        <w:t>脱水</w:t>
      </w:r>
    </w:p>
    <w:p>
      <w:pPr>
        <w:pStyle w:val="124"/>
        <w:ind w:firstLine="560"/>
        <w:rPr>
          <w:rFonts w:ascii="仿宋" w:hAnsi="仿宋" w:cs="仿宋"/>
          <w:bCs w:val="0"/>
        </w:rPr>
      </w:pPr>
      <w:r>
        <w:rPr>
          <w:rFonts w:hint="eastAsia" w:ascii="仿宋" w:hAnsi="仿宋" w:cs="仿宋"/>
          <w:bCs w:val="0"/>
        </w:rPr>
        <w:t>经沉淀处理后的废油用油泵送入离心机内进行脱水，经过脱水后进入下一流程进行处理。</w:t>
      </w:r>
    </w:p>
    <w:p>
      <w:pPr>
        <w:pStyle w:val="124"/>
        <w:numPr>
          <w:ilvl w:val="0"/>
          <w:numId w:val="12"/>
        </w:numPr>
        <w:ind w:firstLine="560"/>
        <w:rPr>
          <w:rFonts w:ascii="仿宋" w:hAnsi="仿宋" w:cs="仿宋"/>
          <w:bCs w:val="0"/>
        </w:rPr>
      </w:pPr>
      <w:r>
        <w:rPr>
          <w:rFonts w:hint="eastAsia" w:ascii="仿宋" w:hAnsi="仿宋" w:cs="仿宋"/>
          <w:bCs w:val="0"/>
        </w:rPr>
        <w:t>减压蒸馏</w:t>
      </w:r>
    </w:p>
    <w:p>
      <w:pPr>
        <w:pStyle w:val="124"/>
        <w:ind w:firstLine="560"/>
        <w:rPr>
          <w:rFonts w:ascii="仿宋" w:hAnsi="仿宋" w:cs="仿宋"/>
          <w:bCs w:val="0"/>
        </w:rPr>
      </w:pPr>
      <w:r>
        <w:rPr>
          <w:rFonts w:hint="eastAsia" w:ascii="仿宋" w:hAnsi="仿宋" w:cs="仿宋"/>
          <w:bCs w:val="0"/>
        </w:rPr>
        <w:t>经脱水塔处理后的废油经塔底泵升压后经加热炉预加热后，在恒温蒸发器中加热后进入减压塔。控制减压塔内各馏分的馏出温度，分别得到一线馏分、二线馏分、三线馏分、四线馏分、五线馏分、减顶润滑油组分和塔底重油组分。</w:t>
      </w:r>
    </w:p>
    <w:p>
      <w:pPr>
        <w:pStyle w:val="124"/>
        <w:ind w:firstLine="560"/>
        <w:rPr>
          <w:rFonts w:ascii="仿宋" w:hAnsi="仿宋" w:cs="仿宋"/>
          <w:bCs w:val="0"/>
        </w:rPr>
      </w:pPr>
      <w:r>
        <w:rPr>
          <w:rFonts w:hint="eastAsia" w:ascii="仿宋" w:hAnsi="仿宋" w:cs="仿宋"/>
          <w:bCs w:val="0"/>
        </w:rPr>
        <w:t>塔底重油组分和减压塔三条侧线产品分别换热、冷却后出装置得到基础油进原料罐区待下一步处理，同时也可以作为产品进行外卖。减压塔底部重组分换热、冷却后进入重油罐内储存。</w:t>
      </w:r>
    </w:p>
    <w:p>
      <w:pPr>
        <w:pStyle w:val="124"/>
        <w:numPr>
          <w:ilvl w:val="0"/>
          <w:numId w:val="12"/>
        </w:numPr>
        <w:ind w:firstLine="560"/>
        <w:rPr>
          <w:rFonts w:ascii="仿宋" w:hAnsi="仿宋" w:cs="仿宋"/>
          <w:bCs w:val="0"/>
        </w:rPr>
      </w:pPr>
      <w:r>
        <w:rPr>
          <w:rFonts w:hint="eastAsia" w:ascii="仿宋" w:hAnsi="仿宋" w:cs="仿宋"/>
          <w:bCs w:val="0"/>
        </w:rPr>
        <w:t>调和</w:t>
      </w:r>
    </w:p>
    <w:p>
      <w:pPr>
        <w:pStyle w:val="124"/>
        <w:ind w:firstLine="560"/>
        <w:rPr>
          <w:rFonts w:ascii="仿宋" w:hAnsi="仿宋" w:cs="仿宋"/>
          <w:bCs w:val="0"/>
        </w:rPr>
      </w:pPr>
      <w:r>
        <w:rPr>
          <w:rFonts w:hint="eastAsia" w:ascii="仿宋" w:hAnsi="仿宋" w:cs="仿宋"/>
          <w:bCs w:val="0"/>
        </w:rPr>
        <w:t>调和控制机根据选定的润滑油品的要求，确定油品组成和所需调配的添加剂，输入油品组分调和的百分比，确认后，调和机进行自动比例调和。调和机运行中动态地采集各组分流率，温度变化情况，设定调和量与实际调和量补偿进行比较，经P、I、D调节运算，控制阀位开度大小，达到比例调和油品的目的。</w:t>
      </w:r>
    </w:p>
    <w:p>
      <w:pPr>
        <w:pStyle w:val="124"/>
        <w:ind w:firstLine="560"/>
        <w:rPr>
          <w:rFonts w:ascii="仿宋" w:hAnsi="仿宋" w:cs="仿宋"/>
          <w:bCs w:val="0"/>
        </w:rPr>
      </w:pPr>
      <w:r>
        <w:rPr>
          <w:rFonts w:hint="eastAsia" w:ascii="仿宋" w:hAnsi="仿宋" w:cs="仿宋"/>
          <w:bCs w:val="0"/>
        </w:rPr>
        <w:t>调和过程是6路组分管道按比例要求调和基础油（或添加剂）经油泵出口进入脱气罐顶部出口引到电磁阀1流入废油池。调和的组分油（或添加剂）经流量计、控制阀，单向阀进入集合管。6种组分都进入集合管后，在混合器中进行搅拌，搅拌后的成品油，进入包装车间。批量调和的设定值完成后，调和机自动停止调和动作。一种油品调和工作完成后，需要调和另一种油品时，要一次对系统进行吹扫，消除调和器残存的基础油（或添加剂）以确保下次调和油品的质量。</w:t>
      </w:r>
    </w:p>
    <w:p>
      <w:pPr>
        <w:pStyle w:val="124"/>
        <w:ind w:firstLine="0" w:firstLineChars="0"/>
        <w:rPr>
          <w:rFonts w:hint="eastAsia" w:hAnsi="宋体" w:eastAsia="仿宋"/>
          <w:color w:val="000000" w:themeColor="text1"/>
          <w:lang w:eastAsia="zh-CN"/>
          <w14:textFill>
            <w14:solidFill>
              <w14:schemeClr w14:val="tx1"/>
            </w14:solidFill>
          </w14:textFill>
        </w:rPr>
      </w:pPr>
      <w:r>
        <w:rPr>
          <w:rFonts w:hint="eastAsia" w:hAnsi="宋体" w:eastAsia="仿宋"/>
          <w:color w:val="000000" w:themeColor="text1"/>
          <w:lang w:eastAsia="zh-CN"/>
          <w14:textFill>
            <w14:solidFill>
              <w14:schemeClr w14:val="tx1"/>
            </w14:solidFill>
          </w14:textFill>
        </w:rPr>
        <w:drawing>
          <wp:inline distT="0" distB="0" distL="114300" distR="114300">
            <wp:extent cx="5502275" cy="4237355"/>
            <wp:effectExtent l="0" t="0" r="3175" b="10795"/>
            <wp:docPr id="17" name="图片 1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图片1"/>
                    <pic:cNvPicPr>
                      <a:picLocks noChangeAspect="1"/>
                    </pic:cNvPicPr>
                  </pic:nvPicPr>
                  <pic:blipFill>
                    <a:blip r:embed="rId17"/>
                    <a:stretch>
                      <a:fillRect/>
                    </a:stretch>
                  </pic:blipFill>
                  <pic:spPr>
                    <a:xfrm>
                      <a:off x="0" y="0"/>
                      <a:ext cx="5502275" cy="4237355"/>
                    </a:xfrm>
                    <a:prstGeom prst="rect">
                      <a:avLst/>
                    </a:prstGeom>
                  </pic:spPr>
                </pic:pic>
              </a:graphicData>
            </a:graphic>
          </wp:inline>
        </w:drawing>
      </w:r>
    </w:p>
    <w:p>
      <w:pPr>
        <w:ind w:firstLine="1680" w:firstLineChars="700"/>
        <w:rPr>
          <w:rFonts w:ascii="仿宋" w:hAnsi="仿宋" w:eastAsia="仿宋" w:cs="仿宋"/>
          <w:sz w:val="24"/>
          <w:szCs w:val="24"/>
        </w:rPr>
      </w:pPr>
      <w:r>
        <w:rPr>
          <w:rFonts w:hint="eastAsia" w:ascii="仿宋" w:hAnsi="仿宋" w:eastAsia="仿宋" w:cs="仿宋"/>
          <w:sz w:val="24"/>
          <w:szCs w:val="24"/>
        </w:rPr>
        <w:t>图2-3  废油再生工艺示意图</w:t>
      </w:r>
    </w:p>
    <w:p>
      <w:pPr>
        <w:pStyle w:val="124"/>
        <w:ind w:firstLine="0" w:firstLineChars="0"/>
      </w:pPr>
    </w:p>
    <w:p>
      <w:pPr>
        <w:pStyle w:val="124"/>
        <w:numPr>
          <w:ilvl w:val="0"/>
          <w:numId w:val="11"/>
        </w:numPr>
        <w:ind w:firstLineChars="0"/>
      </w:pPr>
      <w:r>
        <w:rPr>
          <w:rFonts w:hint="eastAsia"/>
        </w:rPr>
        <w:t>防水卷材生产工艺</w:t>
      </w:r>
    </w:p>
    <w:p>
      <w:pPr>
        <w:pStyle w:val="124"/>
        <w:ind w:firstLine="560"/>
        <w:rPr>
          <w:rFonts w:ascii="仿宋" w:hAnsi="仿宋" w:cs="仿宋"/>
          <w:bCs w:val="0"/>
        </w:rPr>
      </w:pPr>
      <w:r>
        <w:rPr>
          <w:rFonts w:hint="eastAsia" w:ascii="仿宋" w:hAnsi="仿宋" w:cs="仿宋"/>
          <w:bCs w:val="0"/>
        </w:rPr>
        <w:t>改性防水卷材生产工艺过程，将经计量罐计量的减压渣油由稠油泵打入搅拌罐中，将减压渣油加热至200℃左右，随即加入固体SBS改性剂，固体SBS改性剂变为熔融状态，在机械搅拌剪切作用下，与底线油混合均匀。随后将物料打入混合罐中，加入废橡胶粉、白土渣混合均匀，即成为卷材成型的基料。将基料放入涂油池中，为下一工序所用。</w:t>
      </w:r>
    </w:p>
    <w:p>
      <w:pPr>
        <w:pStyle w:val="136"/>
        <w:numPr>
          <w:ilvl w:val="3"/>
          <w:numId w:val="0"/>
        </w:numPr>
        <w:ind w:firstLine="560" w:firstLineChars="200"/>
        <w:jc w:val="left"/>
        <w:rPr>
          <w:lang w:bidi="en-US"/>
        </w:rPr>
      </w:pPr>
      <w:r>
        <w:rPr>
          <w:rStyle w:val="61"/>
          <w:rFonts w:hint="eastAsia"/>
          <w:b w:val="0"/>
          <w:bCs/>
          <w:lang w:val="en-US" w:eastAsia="zh-CN"/>
        </w:rPr>
        <w:t xml:space="preserve">从胎体展开到成品是在一条连续的新型卷材生产线上完成的。经胎体经展卷机→胎基搭接机→胎基停留机→胎基烘干机→卷材厚度控制装置→撒砂机→覆膜装置→牵引压实机组→水槽式和辊筒式冷却机→涨力反馈→成品停留机→自动调偏机→全自动卷毡机→包装贴商标直至成品入库。   </w:t>
      </w:r>
      <w:r>
        <w:rPr>
          <w:rFonts w:hint="eastAsia" w:ascii="Times New Roman" w:hAnsi="宋体" w:eastAsia="仿宋_GB2312" w:cs="Times New Roman"/>
          <w:szCs w:val="22"/>
        </w:rPr>
        <w:drawing>
          <wp:inline distT="0" distB="0" distL="114300" distR="114300">
            <wp:extent cx="5326380" cy="984250"/>
            <wp:effectExtent l="0" t="0" r="7620" b="6350"/>
            <wp:docPr id="9" name="图片 9" descr="微信图片_20200611144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微信图片_20200611144641"/>
                    <pic:cNvPicPr>
                      <a:picLocks noChangeAspect="1"/>
                    </pic:cNvPicPr>
                  </pic:nvPicPr>
                  <pic:blipFill>
                    <a:blip r:embed="rId18"/>
                    <a:stretch>
                      <a:fillRect/>
                    </a:stretch>
                  </pic:blipFill>
                  <pic:spPr>
                    <a:xfrm>
                      <a:off x="0" y="0"/>
                      <a:ext cx="5326380" cy="984250"/>
                    </a:xfrm>
                    <a:prstGeom prst="rect">
                      <a:avLst/>
                    </a:prstGeom>
                  </pic:spPr>
                </pic:pic>
              </a:graphicData>
            </a:graphic>
          </wp:inline>
        </w:drawing>
      </w:r>
    </w:p>
    <w:p>
      <w:pPr>
        <w:ind w:firstLine="2400" w:firstLineChars="1000"/>
        <w:rPr>
          <w:rFonts w:ascii="仿宋" w:hAnsi="仿宋" w:eastAsia="仿宋" w:cs="仿宋"/>
          <w:sz w:val="24"/>
          <w:szCs w:val="24"/>
        </w:rPr>
      </w:pPr>
      <w:r>
        <w:rPr>
          <w:rFonts w:hint="eastAsia" w:ascii="仿宋" w:hAnsi="仿宋" w:eastAsia="仿宋" w:cs="仿宋"/>
          <w:sz w:val="24"/>
          <w:szCs w:val="24"/>
        </w:rPr>
        <w:t>图2-4  防水卷材生产工艺</w:t>
      </w:r>
    </w:p>
    <w:p>
      <w:pPr>
        <w:pStyle w:val="132"/>
        <w:numPr>
          <w:ilvl w:val="2"/>
          <w:numId w:val="0"/>
        </w:numPr>
        <w:ind w:firstLine="1680" w:firstLineChars="700"/>
        <w:jc w:val="both"/>
        <w:rPr>
          <w:b w:val="0"/>
          <w:bCs w:val="0"/>
          <w:sz w:val="24"/>
          <w:szCs w:val="24"/>
          <w:lang w:bidi="en-US"/>
        </w:rPr>
      </w:pPr>
    </w:p>
    <w:p>
      <w:pPr>
        <w:pStyle w:val="131"/>
      </w:pPr>
      <w:bookmarkStart w:id="67" w:name="_Toc10519"/>
      <w:bookmarkStart w:id="68" w:name="_Toc505945685"/>
      <w:bookmarkStart w:id="69" w:name="_Toc5568"/>
      <w:r>
        <w:rPr>
          <w:rFonts w:hint="eastAsia"/>
        </w:rPr>
        <w:t>项目所在区域</w:t>
      </w:r>
      <w:r>
        <w:t>环境情况</w:t>
      </w:r>
      <w:bookmarkEnd w:id="67"/>
      <w:bookmarkEnd w:id="68"/>
      <w:bookmarkEnd w:id="69"/>
    </w:p>
    <w:p>
      <w:pPr>
        <w:pStyle w:val="132"/>
      </w:pPr>
      <w:bookmarkStart w:id="70" w:name="_Toc30790"/>
      <w:bookmarkStart w:id="71" w:name="_Toc505945686"/>
      <w:bookmarkStart w:id="72" w:name="_Toc7195"/>
      <w:r>
        <w:rPr>
          <w:rFonts w:hint="eastAsia"/>
        </w:rPr>
        <w:t>自然</w:t>
      </w:r>
      <w:r>
        <w:t>环境概况</w:t>
      </w:r>
      <w:bookmarkEnd w:id="70"/>
      <w:bookmarkEnd w:id="71"/>
      <w:bookmarkEnd w:id="72"/>
    </w:p>
    <w:p>
      <w:pPr>
        <w:pStyle w:val="136"/>
        <w:rPr>
          <w:rFonts w:cs="仿宋"/>
          <w:b w:val="0"/>
          <w:lang w:bidi="en-US"/>
        </w:rPr>
      </w:pPr>
      <w:r>
        <w:rPr>
          <w:rFonts w:hint="eastAsia"/>
        </w:rPr>
        <w:t>地理位置</w:t>
      </w:r>
      <w:bookmarkStart w:id="73" w:name="OLE_LINK11"/>
      <w:bookmarkStart w:id="74" w:name="OLE_LINK12"/>
    </w:p>
    <w:p>
      <w:pPr>
        <w:pStyle w:val="124"/>
      </w:pPr>
      <w:r>
        <w:rPr>
          <w:rFonts w:hint="eastAsia"/>
        </w:rPr>
        <w:t>福克油品厂位于乌鲁木齐市头屯河工业园区内，该工业园据乌鲁木齐市政府所在地约26km，距312国道3km，距乌奎高速公路（乌鲁木齐—奎屯）1km，据乌鲁木齐国际机场7km，距全疆最大的列车编组站—火车西站8km，距全疆最大的货运储运站—火车北站10km，交通十分方便，是乌鲁木齐市发展工业的重要战略接替区。福克油品厂位于园区一期开发规划范围内，该厂背面为工业区的沙坪路，与路相隔的是新疆制药厂；厂南侧紧邻新疆四方锅炉厂；厂东侧紧邻新疆千秋金属回收有限责任公司。</w:t>
      </w:r>
    </w:p>
    <w:bookmarkEnd w:id="73"/>
    <w:bookmarkEnd w:id="74"/>
    <w:p>
      <w:pPr>
        <w:pStyle w:val="136"/>
      </w:pPr>
      <w:r>
        <w:rPr>
          <w:color w:val="000000" w:themeColor="text1"/>
          <w14:textFill>
            <w14:solidFill>
              <w14:schemeClr w14:val="tx1"/>
            </w14:solidFill>
          </w14:textFill>
        </w:rPr>
        <w:t>周边环境状况</w:t>
      </w:r>
    </w:p>
    <w:p>
      <w:pPr>
        <w:pStyle w:val="124"/>
        <w:rPr>
          <w:rFonts w:hint="eastAsia" w:ascii="仿宋" w:hAnsi="仿宋" w:eastAsia="仿宋" w:cs="仿宋"/>
        </w:rPr>
      </w:pPr>
      <w:r>
        <w:rPr>
          <w:rFonts w:hint="eastAsia" w:ascii="仿宋" w:hAnsi="仿宋" w:eastAsia="仿宋" w:cs="仿宋"/>
        </w:rPr>
        <w:t>头屯河区境内地形多样，包括单面低山、波状台地、冲洪积倾斜平原、斜地、洼地、山前小型扇裙、山前倾斜平原等，整体上以头屯河中下游洪积—冲洪积平原为主。拟建厂区地势起伏，西高东低，南高北低，地面标高在764.69~776.56m，地表相对高差11.87m。项目所在工业区地形平坦，地貌单一。地势由西南向东北缓慢倾斜，坡度0.5%左右。海拔高度660米左右。</w:t>
      </w:r>
    </w:p>
    <w:p>
      <w:pPr>
        <w:pStyle w:val="136"/>
        <w:numPr>
          <w:ilvl w:val="0"/>
          <w:numId w:val="13"/>
        </w:numPr>
        <w:rPr>
          <w:rFonts w:cs="仿宋"/>
          <w:b w:val="0"/>
          <w:lang w:bidi="en-US"/>
        </w:rPr>
      </w:pPr>
      <w:r>
        <w:rPr>
          <w:rFonts w:hint="eastAsia" w:cs="仿宋"/>
          <w:b w:val="0"/>
          <w:lang w:bidi="en-US"/>
        </w:rPr>
        <w:t>气象与气候</w:t>
      </w:r>
    </w:p>
    <w:p>
      <w:pPr>
        <w:pStyle w:val="124"/>
        <w:rPr>
          <w:rFonts w:hint="eastAsia" w:ascii="仿宋" w:hAnsi="仿宋" w:eastAsia="仿宋" w:cs="仿宋"/>
        </w:rPr>
      </w:pPr>
      <w:r>
        <w:rPr>
          <w:rFonts w:hint="eastAsia" w:ascii="仿宋" w:hAnsi="仿宋" w:eastAsia="仿宋" w:cs="仿宋"/>
        </w:rPr>
        <w:t>头屯河工业区属温带大陆性干旱荒漠气候，其特点是寒暑变化剧烈，干燥少雨，光照充分，蒸发量大，冬季寒冷漫长，夏季炎热干燥，春季多大风天气，秋季降温快。年平均气温7.5℃，7月平均气温快，为25.7℃，1月平均气温最低，为-14.5℃，极端最到气温40.5℃，极端最低气温-41.5℃；年平均降水量200.9mm，年平均蒸发量2619.9mm；全年平均湿度为58%；年平均积雪厚度25cm，最大积雪厚度39cm，；全年盛行西北风和北风，年平均风速2.6m/s，静风频率18.7%；年平均气压914hpa；最大冻土深度1.5m，冻土期120天。</w:t>
      </w:r>
    </w:p>
    <w:p>
      <w:pPr>
        <w:pStyle w:val="124"/>
        <w:rPr>
          <w:rFonts w:hint="eastAsia" w:ascii="仿宋" w:hAnsi="仿宋" w:eastAsia="仿宋" w:cs="仿宋"/>
        </w:rPr>
      </w:pPr>
      <w:r>
        <w:rPr>
          <w:rFonts w:hint="eastAsia" w:ascii="仿宋" w:hAnsi="仿宋" w:eastAsia="仿宋" w:cs="仿宋"/>
        </w:rPr>
        <w:t>春、夏、秋三季风速大，静风频率较低，冬季风速小，静风频率较高，冬季多发生雾及烟雾天气。四季均有逆温出现，冬季逆温出现频率高，逆温强度大。项目区域其一般气象条件见表2-1。</w:t>
      </w:r>
    </w:p>
    <w:p>
      <w:pPr>
        <w:jc w:val="center"/>
        <w:rPr>
          <w:rFonts w:hint="eastAsia" w:ascii="仿宋" w:hAnsi="仿宋" w:eastAsia="仿宋" w:cs="仿宋"/>
          <w:sz w:val="24"/>
          <w:szCs w:val="24"/>
        </w:rPr>
      </w:pPr>
      <w:bookmarkStart w:id="75" w:name="_Toc481858197"/>
      <w:bookmarkStart w:id="76" w:name="_Toc7061"/>
      <w:r>
        <w:rPr>
          <w:rFonts w:hint="eastAsia" w:ascii="仿宋" w:hAnsi="仿宋" w:eastAsia="仿宋" w:cs="仿宋"/>
          <w:sz w:val="24"/>
          <w:szCs w:val="24"/>
        </w:rPr>
        <w:t>表2-1区域气候特征</w:t>
      </w:r>
      <w:bookmarkEnd w:id="75"/>
      <w:bookmarkEnd w:id="76"/>
    </w:p>
    <w:tbl>
      <w:tblPr>
        <w:tblStyle w:val="4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1289"/>
        <w:gridCol w:w="2200"/>
        <w:gridCol w:w="2107"/>
        <w:gridCol w:w="21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9"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序号</w:t>
            </w:r>
          </w:p>
        </w:tc>
        <w:tc>
          <w:tcPr>
            <w:tcW w:w="3489" w:type="dxa"/>
            <w:gridSpan w:val="2"/>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项目</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单位</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9" w:type="dxa"/>
            <w:vMerge w:val="restart"/>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w:t>
            </w:r>
          </w:p>
        </w:tc>
        <w:tc>
          <w:tcPr>
            <w:tcW w:w="1289" w:type="dxa"/>
            <w:vMerge w:val="restart"/>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气温</w:t>
            </w:r>
          </w:p>
        </w:tc>
        <w:tc>
          <w:tcPr>
            <w:tcW w:w="2200"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最冷月平均</w:t>
            </w:r>
          </w:p>
        </w:tc>
        <w:tc>
          <w:tcPr>
            <w:tcW w:w="2107" w:type="dxa"/>
            <w:vMerge w:val="restart"/>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128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2200"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最热月平均</w:t>
            </w:r>
          </w:p>
        </w:tc>
        <w:tc>
          <w:tcPr>
            <w:tcW w:w="2107"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128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2200"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极端最低</w:t>
            </w:r>
          </w:p>
        </w:tc>
        <w:tc>
          <w:tcPr>
            <w:tcW w:w="2107"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128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2200"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极端最高</w:t>
            </w:r>
          </w:p>
        </w:tc>
        <w:tc>
          <w:tcPr>
            <w:tcW w:w="2107"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128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2200"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年平均气温</w:t>
            </w:r>
          </w:p>
        </w:tc>
        <w:tc>
          <w:tcPr>
            <w:tcW w:w="2107"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9" w:type="dxa"/>
            <w:vMerge w:val="restart"/>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w:t>
            </w:r>
          </w:p>
        </w:tc>
        <w:tc>
          <w:tcPr>
            <w:tcW w:w="1289" w:type="dxa"/>
            <w:vMerge w:val="restart"/>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降水</w:t>
            </w:r>
          </w:p>
        </w:tc>
        <w:tc>
          <w:tcPr>
            <w:tcW w:w="2200"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多年平均降雨量</w:t>
            </w:r>
          </w:p>
        </w:tc>
        <w:tc>
          <w:tcPr>
            <w:tcW w:w="2107" w:type="dxa"/>
            <w:vMerge w:val="restart"/>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mm</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277.6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128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2200"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历年最大降雨量</w:t>
            </w:r>
          </w:p>
        </w:tc>
        <w:tc>
          <w:tcPr>
            <w:tcW w:w="2107"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81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128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2200"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日最大降水量</w:t>
            </w:r>
          </w:p>
        </w:tc>
        <w:tc>
          <w:tcPr>
            <w:tcW w:w="2107"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819"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3</w:t>
            </w:r>
          </w:p>
        </w:tc>
        <w:tc>
          <w:tcPr>
            <w:tcW w:w="3489" w:type="dxa"/>
            <w:gridSpan w:val="2"/>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年蒸发量</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mm</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1914.1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819" w:type="dxa"/>
            <w:vMerge w:val="restart"/>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w:t>
            </w:r>
          </w:p>
        </w:tc>
        <w:tc>
          <w:tcPr>
            <w:tcW w:w="1289" w:type="dxa"/>
            <w:vMerge w:val="restart"/>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风</w:t>
            </w:r>
          </w:p>
        </w:tc>
        <w:tc>
          <w:tcPr>
            <w:tcW w:w="2200"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年最多风向频率</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南风（S），11.0%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81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128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2200"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夏季最多风向频率</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西北风（NW），13.0%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81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128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2200"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冬季最多风向频率</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南风（S），11.0%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81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128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2200"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全年平均风速</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m/s</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81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1289" w:type="dxa"/>
            <w:vMerge w:val="continue"/>
            <w:vAlign w:val="center"/>
          </w:tcPr>
          <w:p>
            <w:pPr>
              <w:pStyle w:val="143"/>
              <w:rPr>
                <w:rFonts w:hint="eastAsia" w:ascii="仿宋" w:hAnsi="仿宋" w:eastAsia="仿宋" w:cs="仿宋"/>
                <w:color w:val="000000" w:themeColor="text1"/>
                <w14:textFill>
                  <w14:solidFill>
                    <w14:schemeClr w14:val="tx1"/>
                  </w14:solidFill>
                </w14:textFill>
              </w:rPr>
            </w:pPr>
          </w:p>
        </w:tc>
        <w:tc>
          <w:tcPr>
            <w:tcW w:w="2200"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最大风速</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m/s</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819"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w:t>
            </w:r>
          </w:p>
        </w:tc>
        <w:tc>
          <w:tcPr>
            <w:tcW w:w="3489" w:type="dxa"/>
            <w:gridSpan w:val="2"/>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最大积雪厚度</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mm</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35" w:hRule="atLeast"/>
        </w:trPr>
        <w:tc>
          <w:tcPr>
            <w:tcW w:w="819"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6</w:t>
            </w:r>
          </w:p>
        </w:tc>
        <w:tc>
          <w:tcPr>
            <w:tcW w:w="3489" w:type="dxa"/>
            <w:gridSpan w:val="2"/>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最大冻土深度</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cm</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19"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7</w:t>
            </w:r>
          </w:p>
        </w:tc>
        <w:tc>
          <w:tcPr>
            <w:tcW w:w="3489" w:type="dxa"/>
            <w:gridSpan w:val="2"/>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雷暴日数</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天/年</w:t>
            </w:r>
          </w:p>
        </w:tc>
        <w:tc>
          <w:tcPr>
            <w:tcW w:w="2107" w:type="dxa"/>
            <w:vAlign w:val="center"/>
          </w:tcPr>
          <w:p>
            <w:pPr>
              <w:pStyle w:val="143"/>
              <w:rPr>
                <w:rFonts w:hint="eastAsia" w:ascii="仿宋" w:hAnsi="仿宋" w:eastAsia="仿宋" w:cs="仿宋"/>
                <w:color w:val="000000" w:themeColor="text1"/>
                <w14:textFill>
                  <w14:solidFill>
                    <w14:schemeClr w14:val="tx1"/>
                  </w14:solidFill>
                </w14:textFill>
              </w:rPr>
            </w:pPr>
            <w:r>
              <w:rPr>
                <w:rFonts w:hint="eastAsia" w:ascii="仿宋" w:hAnsi="仿宋" w:eastAsia="仿宋" w:cs="仿宋"/>
                <w:color w:val="000000" w:themeColor="text1"/>
                <w14:textFill>
                  <w14:solidFill>
                    <w14:schemeClr w14:val="tx1"/>
                  </w14:solidFill>
                </w14:textFill>
              </w:rPr>
              <w:t>5.3</w:t>
            </w:r>
          </w:p>
        </w:tc>
      </w:tr>
    </w:tbl>
    <w:p>
      <w:pPr>
        <w:pStyle w:val="136"/>
        <w:numPr>
          <w:ilvl w:val="0"/>
          <w:numId w:val="13"/>
        </w:numPr>
        <w:rPr>
          <w:rFonts w:cs="仿宋"/>
          <w:b w:val="0"/>
          <w:lang w:bidi="en-US"/>
        </w:rPr>
      </w:pPr>
      <w:r>
        <w:rPr>
          <w:rFonts w:hint="eastAsia" w:cs="仿宋"/>
          <w:b w:val="0"/>
          <w:lang w:bidi="en-US"/>
        </w:rPr>
        <w:t>水文及水文地质</w:t>
      </w:r>
    </w:p>
    <w:p>
      <w:pPr>
        <w:pStyle w:val="124"/>
        <w:rPr>
          <w:rFonts w:hint="eastAsia" w:ascii="仿宋" w:hAnsi="仿宋" w:eastAsia="仿宋" w:cs="仿宋"/>
        </w:rPr>
      </w:pPr>
      <w:r>
        <w:rPr>
          <w:rFonts w:hint="eastAsia" w:ascii="仿宋" w:hAnsi="仿宋" w:eastAsia="仿宋" w:cs="仿宋"/>
        </w:rPr>
        <w:t>头屯河流经头屯河区西部，位于项目拟建区以西约11.5km。头屯河发源于伊林哈比尔尕山天格尔峰北侧，年平均径流量2.34×10</w:t>
      </w:r>
      <w:r>
        <w:rPr>
          <w:rFonts w:hint="eastAsia" w:ascii="仿宋" w:hAnsi="仿宋" w:eastAsia="仿宋" w:cs="仿宋"/>
          <w:vertAlign w:val="superscript"/>
        </w:rPr>
        <w:t>8</w:t>
      </w:r>
      <w:r>
        <w:rPr>
          <w:rFonts w:hint="eastAsia"/>
        </w:rPr>
        <w:t>m</w:t>
      </w:r>
      <w:r>
        <w:rPr>
          <w:rFonts w:hint="eastAsia"/>
          <w:vertAlign w:val="superscript"/>
        </w:rPr>
        <w:t>3</w:t>
      </w:r>
      <w:r>
        <w:rPr>
          <w:rFonts w:hint="eastAsia" w:ascii="仿宋" w:hAnsi="仿宋" w:eastAsia="仿宋" w:cs="仿宋"/>
        </w:rPr>
        <w:t>。头屯河已被水库拦蓄，河水断流，仅在汛期河道才有水流，年平均泄洪量从0.61×10</w:t>
      </w:r>
      <w:r>
        <w:rPr>
          <w:rFonts w:hint="eastAsia" w:ascii="仿宋" w:hAnsi="仿宋" w:eastAsia="仿宋" w:cs="仿宋"/>
          <w:vertAlign w:val="superscript"/>
        </w:rPr>
        <w:t>8</w:t>
      </w:r>
      <w:r>
        <w:rPr>
          <w:rFonts w:hint="eastAsia"/>
        </w:rPr>
        <w:t>m</w:t>
      </w:r>
      <w:r>
        <w:rPr>
          <w:rFonts w:hint="eastAsia"/>
          <w:vertAlign w:val="superscript"/>
        </w:rPr>
        <w:t>3</w:t>
      </w:r>
      <w:r>
        <w:rPr>
          <w:rFonts w:hint="eastAsia" w:ascii="仿宋" w:hAnsi="仿宋" w:eastAsia="仿宋" w:cs="仿宋"/>
        </w:rPr>
        <w:t>。现流经区内的河水为出库水，年出库水量2.02-2.46×10</w:t>
      </w:r>
      <w:r>
        <w:rPr>
          <w:rFonts w:hint="eastAsia" w:ascii="仿宋" w:hAnsi="仿宋" w:eastAsia="仿宋" w:cs="仿宋"/>
          <w:vertAlign w:val="superscript"/>
        </w:rPr>
        <w:t>8</w:t>
      </w:r>
      <w:r>
        <w:rPr>
          <w:rFonts w:hint="eastAsia"/>
        </w:rPr>
        <w:t>m</w:t>
      </w:r>
      <w:r>
        <w:rPr>
          <w:rFonts w:hint="eastAsia"/>
          <w:vertAlign w:val="superscript"/>
        </w:rPr>
        <w:t>3</w:t>
      </w:r>
      <w:r>
        <w:rPr>
          <w:rFonts w:hint="eastAsia" w:ascii="仿宋" w:hAnsi="仿宋" w:eastAsia="仿宋" w:cs="仿宋"/>
        </w:rPr>
        <w:t>，大部分被渠系引入工矿和农罐区。东侧的王家沟上游已被红岩水库拦蓄，库容量为700×10</w:t>
      </w:r>
      <w:r>
        <w:rPr>
          <w:rFonts w:hint="eastAsia" w:ascii="仿宋" w:hAnsi="仿宋" w:eastAsia="仿宋" w:cs="仿宋"/>
          <w:vertAlign w:val="superscript"/>
        </w:rPr>
        <w:t>4</w:t>
      </w:r>
      <w:r>
        <w:rPr>
          <w:rFonts w:hint="eastAsia"/>
        </w:rPr>
        <w:t>m</w:t>
      </w:r>
      <w:r>
        <w:rPr>
          <w:rFonts w:hint="eastAsia"/>
          <w:vertAlign w:val="superscript"/>
        </w:rPr>
        <w:t>3</w:t>
      </w:r>
      <w:r>
        <w:rPr>
          <w:rFonts w:hint="eastAsia" w:ascii="仿宋" w:hAnsi="仿宋" w:eastAsia="仿宋" w:cs="仿宋"/>
        </w:rPr>
        <w:t xml:space="preserve">，由渠系引入农罐区。 </w:t>
      </w:r>
    </w:p>
    <w:p>
      <w:pPr>
        <w:pStyle w:val="124"/>
        <w:rPr>
          <w:rFonts w:hint="eastAsia" w:ascii="仿宋" w:hAnsi="仿宋" w:eastAsia="仿宋" w:cs="仿宋"/>
        </w:rPr>
      </w:pPr>
      <w:r>
        <w:rPr>
          <w:rFonts w:hint="eastAsia" w:ascii="仿宋" w:hAnsi="仿宋" w:eastAsia="仿宋" w:cs="仿宋"/>
        </w:rPr>
        <w:t xml:space="preserve">起源于南部山区的河水经头屯河、王家沟流出山区后，大量渗入第四系松散层形成地下水，地下水在两河的冲洪积扇的上、中部以单一的潜水形式存在。而后由于冲洪积物的分层，使向北径流逐渐变为多层结构的潜水和承压水。头屯河冲洪积扇含水层岩性为松散的砂砾石、卵砾石层，是区内的主要含水岩组，其厚度100~400m。 </w:t>
      </w:r>
    </w:p>
    <w:p>
      <w:pPr>
        <w:pStyle w:val="124"/>
        <w:rPr>
          <w:rFonts w:hint="eastAsia" w:ascii="仿宋" w:hAnsi="仿宋" w:eastAsia="仿宋" w:cs="仿宋"/>
        </w:rPr>
      </w:pPr>
      <w:r>
        <w:rPr>
          <w:rFonts w:hint="eastAsia" w:ascii="仿宋" w:hAnsi="仿宋" w:eastAsia="仿宋" w:cs="仿宋"/>
        </w:rPr>
        <w:t>公司所在区域是接受头屯河、王家沟上游河水、渠系的渗入和河谷地下潜流的补给，又不断地由南向北东方向径流排泄。地下水的主要补给来源为渠系渗入、河谷潜流及山前基岩裂隙水侧向补给；地下水以径流形式泄入北部细土平原，少量消耗于当地工农业开采。由于该区域气候干燥少雨，加之地下水位埋深大，故大气降水对地下水补给意义不大。</w:t>
      </w:r>
    </w:p>
    <w:p>
      <w:pPr>
        <w:pStyle w:val="124"/>
        <w:rPr>
          <w:rFonts w:hint="eastAsia" w:ascii="仿宋" w:hAnsi="仿宋" w:eastAsia="仿宋" w:cs="仿宋"/>
        </w:rPr>
      </w:pPr>
      <w:r>
        <w:rPr>
          <w:rFonts w:hint="eastAsia" w:ascii="仿宋" w:hAnsi="仿宋" w:eastAsia="仿宋" w:cs="仿宋"/>
        </w:rPr>
        <w:t>水文物探结果表明，厂址区域第四纪松散粗颗粒沉积层厚度约300m，地层岩性分别是：土、卵石含土、卵砾石、粗中砂。测区含水层岩性为冲洪积卵砾石含土及粗中砂地层，地下水埋深200m左右，迁移方向为由南向北径流，单井涌水量20</w:t>
      </w:r>
      <w:r>
        <w:rPr>
          <w:rFonts w:hint="eastAsia"/>
        </w:rPr>
        <w:t>m</w:t>
      </w:r>
      <w:r>
        <w:rPr>
          <w:rFonts w:hint="eastAsia"/>
          <w:vertAlign w:val="superscript"/>
        </w:rPr>
        <w:t>3</w:t>
      </w:r>
      <w:r>
        <w:rPr>
          <w:rFonts w:hint="eastAsia" w:ascii="仿宋" w:hAnsi="仿宋" w:eastAsia="仿宋" w:cs="仿宋"/>
        </w:rPr>
        <w:t>/h。</w:t>
      </w:r>
    </w:p>
    <w:p>
      <w:pPr>
        <w:pStyle w:val="136"/>
        <w:numPr>
          <w:ilvl w:val="0"/>
          <w:numId w:val="13"/>
        </w:numPr>
        <w:rPr>
          <w:rFonts w:cs="仿宋"/>
          <w:b w:val="0"/>
          <w:lang w:bidi="en-US"/>
        </w:rPr>
      </w:pPr>
      <w:r>
        <w:rPr>
          <w:rFonts w:hint="eastAsia" w:cs="仿宋"/>
          <w:b w:val="0"/>
          <w:lang w:bidi="en-US"/>
        </w:rPr>
        <w:t>区域工程地质条件</w:t>
      </w:r>
    </w:p>
    <w:p>
      <w:pPr>
        <w:pStyle w:val="124"/>
      </w:pPr>
      <w:r>
        <w:rPr>
          <w:rFonts w:hint="eastAsia"/>
        </w:rPr>
        <w:t>公司场地为冲积、洪积扇上部地带，主要为第四系的冲洪积物，岩性为卵砾石或砂砾石。场区低层在钻探深度可分为：圆砾：黄褐色~灰褐色，呈稍密~密实状态，表层0.2~0.4m范围为耕植土，富含植物根系；下部为圆砾、粒径2~15cm，可见20~30cm漂石，磨圆较好，级配好，分选较差；细粒土含量较高，表层0.8m以上夹杂大量钙质结核。</w:t>
      </w:r>
    </w:p>
    <w:p>
      <w:pPr>
        <w:pStyle w:val="124"/>
      </w:pPr>
      <w:r>
        <w:rPr>
          <w:rFonts w:hint="eastAsia"/>
        </w:rPr>
        <w:t>层厚为0.90~2.00m，平均为1.45m；层底标高为763.19~775.16m，平均为769.84m。表层耕植土以下为较不均匀的低层压缩性地基土，承载力较高。杂填土：黄褐色~灰褐色，呈松散~稍密状态，主要成分为圆砾、粉细砂、砖块及建筑垃圾。厚度为0.40~3.80m，平均为1.75m；层底标高为762.20~768.30m，平均为765.20m。本层为不均匀的较高压缩性地基土，工程力学性质差，承载力较差，应挖除换填或进行地基处理。圆砾：灰褐色~青灰色，呈稍密~密实状态，含粉细砂、卵石及圆砾，可见30~40cm漂石，卵砾石粒径2~15cm，磨圆较好，级配好，分选差。层厚为1.60~6.10m，平均为4.14m；层底标高为758.63~771.04m，平均为765.24m。本层土属较不均匀的低压缩性地基土，承载力较高。圆砾：青灰色，密实状态，含中粗砂、卵石及圆砾，偶见漂石，卵砾石粒径2~10cm，磨圆较好，级配好，分选差。揭示最大厚度为24.60m，本层土属较均匀的低压缩性地基土，承载力较高。场地抗震设防烈度：8度。设计地震基本加速度0.20g。设计特征周期：0.35s。属构造稳定区，场区稳定性较好。</w:t>
      </w:r>
    </w:p>
    <w:p>
      <w:pPr>
        <w:pStyle w:val="136"/>
        <w:numPr>
          <w:ilvl w:val="0"/>
          <w:numId w:val="13"/>
        </w:numPr>
        <w:rPr>
          <w:rFonts w:cs="仿宋"/>
          <w:b w:val="0"/>
          <w:lang w:bidi="en-US"/>
        </w:rPr>
      </w:pPr>
      <w:r>
        <w:rPr>
          <w:rFonts w:hint="eastAsia" w:cs="仿宋"/>
          <w:b w:val="0"/>
          <w:lang w:bidi="en-US"/>
        </w:rPr>
        <w:t>植被</w:t>
      </w:r>
    </w:p>
    <w:p>
      <w:pPr>
        <w:pStyle w:val="124"/>
      </w:pPr>
      <w:r>
        <w:rPr>
          <w:rFonts w:hint="eastAsia"/>
        </w:rPr>
        <w:t>公司所在区域植被区划属新疆荒漠区、北疆荒漠亚区、准噶尔荒漠省、乌苏－奇台州。植被与环境的关系是相互关联，相互制约的，其生长状态的优劣，反映了该区域生态环境的好坏。公司所在区域为头屯河工业区，周边自然景观已被人工构筑物代替，导致植物种类贫乏，植被群落结构简单，以人工绿化植被为主。</w:t>
      </w:r>
    </w:p>
    <w:p>
      <w:pPr>
        <w:pStyle w:val="136"/>
        <w:numPr>
          <w:ilvl w:val="3"/>
          <w:numId w:val="0"/>
        </w:numPr>
      </w:pPr>
    </w:p>
    <w:p>
      <w:pPr>
        <w:pStyle w:val="132"/>
      </w:pPr>
      <w:bookmarkStart w:id="77" w:name="_Toc15849"/>
      <w:bookmarkStart w:id="78" w:name="_Toc14428"/>
      <w:bookmarkStart w:id="79" w:name="_Toc505945687"/>
      <w:r>
        <w:rPr>
          <w:rFonts w:hint="eastAsia"/>
        </w:rPr>
        <w:t>环境保护目标</w:t>
      </w:r>
      <w:bookmarkEnd w:id="77"/>
      <w:bookmarkEnd w:id="78"/>
      <w:bookmarkEnd w:id="79"/>
    </w:p>
    <w:p>
      <w:pPr>
        <w:ind w:firstLine="480"/>
        <w:rPr>
          <w:rFonts w:ascii="仿宋" w:hAnsi="仿宋" w:eastAsia="仿宋" w:cs="仿宋"/>
          <w:sz w:val="28"/>
          <w:szCs w:val="28"/>
          <w:lang w:bidi="en-US"/>
        </w:rPr>
      </w:pPr>
      <w:bookmarkStart w:id="80" w:name="_Toc505945688"/>
      <w:bookmarkStart w:id="81" w:name="_Toc7905"/>
      <w:r>
        <w:rPr>
          <w:rFonts w:hint="eastAsia" w:ascii="仿宋" w:hAnsi="仿宋" w:eastAsia="仿宋" w:cs="仿宋"/>
          <w:sz w:val="28"/>
          <w:szCs w:val="28"/>
          <w:lang w:bidi="en-US"/>
        </w:rPr>
        <w:t>以厂内罐区为中心，半径5km的圆形所形成的包络区域。项目厂址附近为三坪农场六队、三坪农场七连、三坪农场八连，新疆制药厂，可能受到本项目环境风险事故的影响。厂址区域周围环境敏感点分布见表2-2。</w:t>
      </w:r>
    </w:p>
    <w:p>
      <w:pPr>
        <w:jc w:val="center"/>
        <w:rPr>
          <w:rFonts w:hint="eastAsia" w:ascii="仿宋" w:hAnsi="仿宋" w:eastAsia="仿宋" w:cs="仿宋"/>
          <w:sz w:val="24"/>
          <w:szCs w:val="24"/>
        </w:rPr>
      </w:pPr>
      <w:bookmarkStart w:id="82" w:name="_Toc6798"/>
      <w:r>
        <w:rPr>
          <w:rFonts w:hint="eastAsia" w:ascii="仿宋" w:hAnsi="仿宋" w:eastAsia="仿宋" w:cs="仿宋"/>
          <w:sz w:val="24"/>
          <w:szCs w:val="24"/>
        </w:rPr>
        <w:t>表2-2 主要环境敏感点分布情况</w:t>
      </w:r>
      <w:bookmarkEnd w:id="82"/>
    </w:p>
    <w:tbl>
      <w:tblPr>
        <w:tblStyle w:val="41"/>
        <w:tblW w:w="8881"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1"/>
        <w:gridCol w:w="1160"/>
        <w:gridCol w:w="1663"/>
        <w:gridCol w:w="1817"/>
        <w:gridCol w:w="33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931" w:type="dxa"/>
            <w:vAlign w:val="center"/>
          </w:tcPr>
          <w:p>
            <w:pPr>
              <w:ind w:right="-105" w:rightChars="-5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环境</w:t>
            </w:r>
          </w:p>
          <w:p>
            <w:pPr>
              <w:ind w:right="-105" w:rightChars="-5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类别</w:t>
            </w:r>
          </w:p>
        </w:tc>
        <w:tc>
          <w:tcPr>
            <w:tcW w:w="1160" w:type="dxa"/>
            <w:vAlign w:val="center"/>
          </w:tcPr>
          <w:p>
            <w:pPr>
              <w:ind w:left="-105" w:leftChars="-50" w:right="-105" w:rightChars="-50" w:firstLine="42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名称</w:t>
            </w:r>
          </w:p>
        </w:tc>
        <w:tc>
          <w:tcPr>
            <w:tcW w:w="1663" w:type="dxa"/>
            <w:vAlign w:val="center"/>
          </w:tcPr>
          <w:p>
            <w:pPr>
              <w:ind w:left="-105" w:leftChars="-50" w:right="-105" w:rightChars="-50" w:firstLine="630" w:firstLineChars="3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离厂界</w:t>
            </w:r>
          </w:p>
          <w:p>
            <w:pPr>
              <w:ind w:right="-105" w:rightChars="-50" w:firstLine="210" w:firstLineChars="1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方位及距离</w:t>
            </w:r>
          </w:p>
        </w:tc>
        <w:tc>
          <w:tcPr>
            <w:tcW w:w="1817" w:type="dxa"/>
            <w:vAlign w:val="center"/>
          </w:tcPr>
          <w:p>
            <w:pPr>
              <w:ind w:left="-105" w:leftChars="-50" w:right="-105" w:rightChars="-50" w:firstLine="42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环境敏感特征</w:t>
            </w:r>
          </w:p>
        </w:tc>
        <w:tc>
          <w:tcPr>
            <w:tcW w:w="3310" w:type="dxa"/>
            <w:vAlign w:val="center"/>
          </w:tcPr>
          <w:p>
            <w:pPr>
              <w:ind w:left="-105" w:leftChars="-50" w:right="-105" w:rightChars="-50" w:firstLine="1050" w:firstLineChars="5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保护目标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931" w:type="dxa"/>
            <w:vMerge w:val="restart"/>
            <w:vAlign w:val="center"/>
          </w:tcPr>
          <w:p>
            <w:pPr>
              <w:ind w:right="-105" w:rightChars="-5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环境</w:t>
            </w:r>
          </w:p>
          <w:p>
            <w:pPr>
              <w:ind w:right="-105" w:rightChars="-5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空气</w:t>
            </w:r>
          </w:p>
        </w:tc>
        <w:tc>
          <w:tcPr>
            <w:tcW w:w="1160" w:type="dxa"/>
            <w:vAlign w:val="center"/>
          </w:tcPr>
          <w:p>
            <w:pPr>
              <w:ind w:right="-105" w:rightChars="-50" w:firstLine="210" w:firstLineChars="1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三坪</w:t>
            </w:r>
          </w:p>
          <w:p>
            <w:pPr>
              <w:ind w:right="-105" w:rightChars="-5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农场六队</w:t>
            </w:r>
          </w:p>
        </w:tc>
        <w:tc>
          <w:tcPr>
            <w:tcW w:w="1663" w:type="dxa"/>
            <w:vAlign w:val="center"/>
          </w:tcPr>
          <w:p>
            <w:pPr>
              <w:ind w:right="-105" w:rightChars="-50" w:firstLine="210" w:firstLineChars="1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厂界西南侧</w:t>
            </w:r>
          </w:p>
          <w:p>
            <w:pPr>
              <w:ind w:left="-105" w:leftChars="-50" w:right="-105" w:rightChars="-50" w:firstLine="42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约3.1km</w:t>
            </w:r>
          </w:p>
        </w:tc>
        <w:tc>
          <w:tcPr>
            <w:tcW w:w="1817" w:type="dxa"/>
            <w:vAlign w:val="center"/>
          </w:tcPr>
          <w:p>
            <w:pPr>
              <w:ind w:right="-105" w:rightChars="-5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约160户，480人</w:t>
            </w:r>
          </w:p>
        </w:tc>
        <w:tc>
          <w:tcPr>
            <w:tcW w:w="3310" w:type="dxa"/>
            <w:vMerge w:val="restart"/>
            <w:vAlign w:val="center"/>
          </w:tcPr>
          <w:p>
            <w:pPr>
              <w:ind w:left="-105" w:leftChars="-50" w:right="-105" w:rightChars="-50" w:firstLine="420"/>
              <w:jc w:val="center"/>
              <w:rPr>
                <w:rFonts w:hint="eastAsia" w:ascii="仿宋" w:hAnsi="仿宋" w:eastAsia="仿宋" w:cs="仿宋"/>
                <w:color w:val="000000" w:themeColor="text1"/>
                <w:sz w:val="21"/>
                <w:szCs w:val="21"/>
                <w14:textFill>
                  <w14:solidFill>
                    <w14:schemeClr w14:val="tx1"/>
                  </w14:solidFill>
                </w14:textFill>
              </w:rPr>
            </w:pPr>
            <w:r>
              <w:rPr>
                <w:rFonts w:eastAsiaTheme="minorEastAsia"/>
                <w:color w:val="000000"/>
                <w:sz w:val="21"/>
                <w:szCs w:val="21"/>
              </w:rPr>
              <w:t>满足《环境空气质量标准》（GB3095-2012）二类区，保证居民身体健康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931" w:type="dxa"/>
            <w:vMerge w:val="continue"/>
            <w:vAlign w:val="center"/>
          </w:tcPr>
          <w:p>
            <w:pPr>
              <w:ind w:left="-105" w:leftChars="-50" w:right="-105" w:rightChars="-50" w:firstLine="420"/>
              <w:jc w:val="center"/>
              <w:rPr>
                <w:rFonts w:hint="eastAsia" w:ascii="仿宋" w:hAnsi="仿宋" w:eastAsia="仿宋" w:cs="仿宋"/>
                <w:color w:val="000000" w:themeColor="text1"/>
                <w:sz w:val="21"/>
                <w:szCs w:val="21"/>
                <w14:textFill>
                  <w14:solidFill>
                    <w14:schemeClr w14:val="tx1"/>
                  </w14:solidFill>
                </w14:textFill>
              </w:rPr>
            </w:pPr>
          </w:p>
        </w:tc>
        <w:tc>
          <w:tcPr>
            <w:tcW w:w="1160" w:type="dxa"/>
            <w:vAlign w:val="center"/>
          </w:tcPr>
          <w:p>
            <w:pPr>
              <w:ind w:right="-105" w:rightChars="-50" w:firstLine="210" w:firstLineChars="1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三坪</w:t>
            </w:r>
          </w:p>
          <w:p>
            <w:pPr>
              <w:ind w:right="-105" w:rightChars="-5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农场七连</w:t>
            </w:r>
          </w:p>
        </w:tc>
        <w:tc>
          <w:tcPr>
            <w:tcW w:w="1663" w:type="dxa"/>
            <w:vAlign w:val="center"/>
          </w:tcPr>
          <w:p>
            <w:pPr>
              <w:ind w:right="-105" w:rightChars="-50" w:firstLine="210" w:firstLineChars="1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厂界西北侧</w:t>
            </w:r>
          </w:p>
          <w:p>
            <w:pPr>
              <w:ind w:right="-105" w:rightChars="-50" w:firstLine="42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约1.4km</w:t>
            </w:r>
          </w:p>
        </w:tc>
        <w:tc>
          <w:tcPr>
            <w:tcW w:w="1817" w:type="dxa"/>
            <w:vAlign w:val="center"/>
          </w:tcPr>
          <w:p>
            <w:pPr>
              <w:ind w:right="-105" w:rightChars="-5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约120户，360人</w:t>
            </w:r>
          </w:p>
        </w:tc>
        <w:tc>
          <w:tcPr>
            <w:tcW w:w="3310" w:type="dxa"/>
            <w:vMerge w:val="continue"/>
            <w:vAlign w:val="center"/>
          </w:tcPr>
          <w:p>
            <w:pPr>
              <w:ind w:left="-105" w:leftChars="-50" w:right="-105" w:rightChars="-50" w:firstLine="420"/>
              <w:jc w:val="center"/>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right"/>
        </w:trPr>
        <w:tc>
          <w:tcPr>
            <w:tcW w:w="931" w:type="dxa"/>
            <w:vMerge w:val="continue"/>
            <w:vAlign w:val="center"/>
          </w:tcPr>
          <w:p>
            <w:pPr>
              <w:ind w:left="-105" w:leftChars="-50" w:right="-105" w:rightChars="-50" w:firstLine="420"/>
              <w:jc w:val="center"/>
              <w:rPr>
                <w:rFonts w:hint="eastAsia" w:ascii="仿宋" w:hAnsi="仿宋" w:eastAsia="仿宋" w:cs="仿宋"/>
                <w:color w:val="000000" w:themeColor="text1"/>
                <w:sz w:val="21"/>
                <w:szCs w:val="21"/>
                <w14:textFill>
                  <w14:solidFill>
                    <w14:schemeClr w14:val="tx1"/>
                  </w14:solidFill>
                </w14:textFill>
              </w:rPr>
            </w:pPr>
          </w:p>
        </w:tc>
        <w:tc>
          <w:tcPr>
            <w:tcW w:w="1160" w:type="dxa"/>
            <w:vAlign w:val="center"/>
          </w:tcPr>
          <w:p>
            <w:pPr>
              <w:ind w:right="-105" w:rightChars="-50" w:firstLine="210" w:firstLineChars="1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三坪</w:t>
            </w:r>
          </w:p>
          <w:p>
            <w:pPr>
              <w:ind w:right="-105" w:rightChars="-5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农场八连</w:t>
            </w:r>
          </w:p>
        </w:tc>
        <w:tc>
          <w:tcPr>
            <w:tcW w:w="1663" w:type="dxa"/>
            <w:vAlign w:val="center"/>
          </w:tcPr>
          <w:p>
            <w:pPr>
              <w:ind w:right="-105" w:rightChars="-50" w:firstLine="210" w:firstLineChars="1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厂界西北侧</w:t>
            </w:r>
          </w:p>
          <w:p>
            <w:pPr>
              <w:ind w:right="-105" w:rightChars="-50" w:firstLine="42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约2.3km</w:t>
            </w:r>
          </w:p>
        </w:tc>
        <w:tc>
          <w:tcPr>
            <w:tcW w:w="1817" w:type="dxa"/>
            <w:vAlign w:val="center"/>
          </w:tcPr>
          <w:p>
            <w:pPr>
              <w:ind w:right="-105" w:rightChars="-5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约140户，420人</w:t>
            </w:r>
          </w:p>
        </w:tc>
        <w:tc>
          <w:tcPr>
            <w:tcW w:w="3310" w:type="dxa"/>
            <w:vMerge w:val="continue"/>
            <w:vAlign w:val="center"/>
          </w:tcPr>
          <w:p>
            <w:pPr>
              <w:ind w:left="-105" w:leftChars="-50" w:right="-105" w:rightChars="-50" w:firstLine="420"/>
              <w:jc w:val="center"/>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right"/>
        </w:trPr>
        <w:tc>
          <w:tcPr>
            <w:tcW w:w="931" w:type="dxa"/>
            <w:vMerge w:val="continue"/>
            <w:vAlign w:val="center"/>
          </w:tcPr>
          <w:p>
            <w:pPr>
              <w:ind w:left="-105" w:leftChars="-50" w:right="-105" w:rightChars="-50" w:firstLine="420"/>
              <w:jc w:val="center"/>
              <w:rPr>
                <w:rFonts w:hint="eastAsia" w:ascii="仿宋" w:hAnsi="仿宋" w:eastAsia="仿宋" w:cs="仿宋"/>
                <w:color w:val="000000" w:themeColor="text1"/>
                <w:sz w:val="21"/>
                <w:szCs w:val="21"/>
                <w14:textFill>
                  <w14:solidFill>
                    <w14:schemeClr w14:val="tx1"/>
                  </w14:solidFill>
                </w14:textFill>
              </w:rPr>
            </w:pPr>
          </w:p>
        </w:tc>
        <w:tc>
          <w:tcPr>
            <w:tcW w:w="1160" w:type="dxa"/>
            <w:vAlign w:val="center"/>
          </w:tcPr>
          <w:p>
            <w:pPr>
              <w:ind w:right="-105" w:rightChars="-50" w:firstLine="210" w:firstLineChars="1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 xml:space="preserve">新疆 </w:t>
            </w:r>
          </w:p>
          <w:p>
            <w:pPr>
              <w:ind w:right="-105" w:rightChars="-50" w:firstLine="210" w:firstLineChars="10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制药厂</w:t>
            </w:r>
          </w:p>
        </w:tc>
        <w:tc>
          <w:tcPr>
            <w:tcW w:w="1663" w:type="dxa"/>
            <w:vAlign w:val="center"/>
          </w:tcPr>
          <w:p>
            <w:pPr>
              <w:ind w:right="-105" w:rightChars="-5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紧邻厂界东北侧</w:t>
            </w:r>
          </w:p>
        </w:tc>
        <w:tc>
          <w:tcPr>
            <w:tcW w:w="1817" w:type="dxa"/>
            <w:vAlign w:val="center"/>
          </w:tcPr>
          <w:p>
            <w:pPr>
              <w:ind w:left="-105" w:leftChars="-50" w:right="-105" w:rightChars="-50" w:firstLine="42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药品</w:t>
            </w:r>
          </w:p>
        </w:tc>
        <w:tc>
          <w:tcPr>
            <w:tcW w:w="3310" w:type="dxa"/>
            <w:vMerge w:val="continue"/>
            <w:vAlign w:val="center"/>
          </w:tcPr>
          <w:p>
            <w:pPr>
              <w:ind w:left="-105" w:leftChars="-50" w:right="-105" w:rightChars="-50" w:firstLine="420"/>
              <w:jc w:val="center"/>
              <w:rPr>
                <w:rFonts w:hint="eastAsia" w:ascii="仿宋" w:hAnsi="仿宋" w:eastAsia="仿宋" w:cs="仿宋"/>
                <w:color w:val="000000" w:themeColor="text1"/>
                <w:sz w:val="2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931" w:type="dxa"/>
            <w:vAlign w:val="center"/>
          </w:tcPr>
          <w:p>
            <w:pPr>
              <w:ind w:right="-105" w:rightChars="-5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地下水</w:t>
            </w:r>
          </w:p>
        </w:tc>
        <w:tc>
          <w:tcPr>
            <w:tcW w:w="4640" w:type="dxa"/>
            <w:gridSpan w:val="3"/>
            <w:vAlign w:val="center"/>
          </w:tcPr>
          <w:p>
            <w:pPr>
              <w:ind w:left="-105" w:leftChars="-50" w:right="-105" w:rightChars="-50" w:firstLine="420"/>
              <w:jc w:val="center"/>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厂址区域及下游地下水区域</w:t>
            </w:r>
          </w:p>
        </w:tc>
        <w:tc>
          <w:tcPr>
            <w:tcW w:w="3310" w:type="dxa"/>
            <w:vAlign w:val="center"/>
          </w:tcPr>
          <w:p>
            <w:pPr>
              <w:ind w:left="-105" w:leftChars="-50" w:right="-105" w:rightChars="-50" w:firstLine="420"/>
              <w:jc w:val="center"/>
              <w:rPr>
                <w:rFonts w:hint="eastAsia" w:ascii="仿宋" w:hAnsi="仿宋" w:eastAsia="仿宋" w:cs="仿宋"/>
                <w:color w:val="000000" w:themeColor="text1"/>
                <w:sz w:val="21"/>
                <w:szCs w:val="21"/>
                <w14:textFill>
                  <w14:solidFill>
                    <w14:schemeClr w14:val="tx1"/>
                  </w14:solidFill>
                </w14:textFill>
              </w:rPr>
            </w:pPr>
            <w:r>
              <w:rPr>
                <w:color w:val="000000"/>
                <w:kern w:val="0"/>
                <w:sz w:val="21"/>
                <w:szCs w:val="21"/>
                <w:lang w:bidi="ar"/>
              </w:rPr>
              <w:t>满足《地下水环境质量标准》（GB/T14848-2017）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right"/>
        </w:trPr>
        <w:tc>
          <w:tcPr>
            <w:tcW w:w="931" w:type="dxa"/>
            <w:vAlign w:val="center"/>
          </w:tcPr>
          <w:p>
            <w:pPr>
              <w:ind w:right="-105" w:rightChars="-5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声环境</w:t>
            </w:r>
          </w:p>
        </w:tc>
        <w:tc>
          <w:tcPr>
            <w:tcW w:w="4640" w:type="dxa"/>
            <w:gridSpan w:val="3"/>
            <w:vAlign w:val="center"/>
          </w:tcPr>
          <w:p>
            <w:pPr>
              <w:ind w:left="-105" w:leftChars="-50" w:right="-105" w:rightChars="-50" w:firstLine="420"/>
              <w:jc w:val="center"/>
              <w:rPr>
                <w:rFonts w:hint="eastAsia" w:ascii="仿宋" w:hAnsi="仿宋" w:eastAsia="仿宋" w:cs="仿宋"/>
                <w:color w:val="000000" w:themeColor="text1"/>
                <w:sz w:val="21"/>
                <w:szCs w:val="21"/>
                <w:highlight w:val="yellow"/>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厂区及厂界外1m范围内</w:t>
            </w:r>
          </w:p>
        </w:tc>
        <w:tc>
          <w:tcPr>
            <w:tcW w:w="3310" w:type="dxa"/>
            <w:vAlign w:val="center"/>
          </w:tcPr>
          <w:p>
            <w:pPr>
              <w:ind w:right="-105" w:rightChars="-50"/>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eastAsia="zh-CN"/>
                <w14:textFill>
                  <w14:solidFill>
                    <w14:schemeClr w14:val="tx1"/>
                  </w14:solidFill>
                </w14:textFill>
              </w:rPr>
              <w:t>声环境质量标准</w:t>
            </w:r>
            <w:r>
              <w:rPr>
                <w:rFonts w:hint="eastAsia" w:ascii="仿宋" w:hAnsi="仿宋" w:eastAsia="仿宋" w:cs="仿宋"/>
                <w:color w:val="000000" w:themeColor="text1"/>
                <w:sz w:val="21"/>
                <w:szCs w:val="21"/>
                <w14:textFill>
                  <w14:solidFill>
                    <w14:schemeClr w14:val="tx1"/>
                  </w14:solidFill>
                </w14:textFill>
              </w:rPr>
              <w:t>》（GB</w:t>
            </w:r>
            <w:r>
              <w:rPr>
                <w:rFonts w:hint="eastAsia" w:ascii="仿宋" w:hAnsi="仿宋" w:eastAsia="仿宋" w:cs="仿宋"/>
                <w:color w:val="000000" w:themeColor="text1"/>
                <w:sz w:val="21"/>
                <w:szCs w:val="21"/>
                <w:lang w:val="en-US" w:eastAsia="zh-CN"/>
                <w14:textFill>
                  <w14:solidFill>
                    <w14:schemeClr w14:val="tx1"/>
                  </w14:solidFill>
                </w14:textFill>
              </w:rPr>
              <w:t>3096</w:t>
            </w:r>
            <w:r>
              <w:rPr>
                <w:rFonts w:hint="eastAsia" w:ascii="仿宋" w:hAnsi="仿宋" w:eastAsia="仿宋" w:cs="仿宋"/>
                <w:color w:val="000000" w:themeColor="text1"/>
                <w:sz w:val="21"/>
                <w:szCs w:val="21"/>
                <w14:textFill>
                  <w14:solidFill>
                    <w14:schemeClr w14:val="tx1"/>
                  </w14:solidFill>
                </w14:textFill>
              </w:rPr>
              <w:t>-2008）</w:t>
            </w:r>
          </w:p>
        </w:tc>
      </w:tr>
    </w:tbl>
    <w:p>
      <w:pPr>
        <w:pStyle w:val="131"/>
      </w:pPr>
      <w:bookmarkStart w:id="83" w:name="_Toc16018"/>
      <w:r>
        <w:rPr>
          <w:rFonts w:hint="eastAsia"/>
        </w:rPr>
        <w:t>污染源分析</w:t>
      </w:r>
      <w:bookmarkEnd w:id="80"/>
      <w:bookmarkEnd w:id="81"/>
      <w:bookmarkEnd w:id="83"/>
    </w:p>
    <w:p>
      <w:pPr>
        <w:pStyle w:val="124"/>
        <w:ind w:firstLine="560"/>
      </w:pPr>
      <w:r>
        <w:rPr>
          <w:rFonts w:hint="eastAsia"/>
        </w:rPr>
        <w:t>（1）</w:t>
      </w:r>
      <w:r>
        <w:rPr>
          <w:rFonts w:hint="eastAsia"/>
        </w:rPr>
        <w:tab/>
      </w:r>
      <w:r>
        <w:rPr>
          <w:rFonts w:hint="eastAsia"/>
        </w:rPr>
        <w:t>废气</w:t>
      </w:r>
    </w:p>
    <w:p>
      <w:pPr>
        <w:pStyle w:val="124"/>
        <w:ind w:firstLine="560"/>
      </w:pPr>
      <w:r>
        <w:rPr>
          <w:rFonts w:hint="eastAsia"/>
          <w:lang w:val="en-US" w:eastAsia="zh-CN"/>
        </w:rPr>
        <w:t>废油再生项目运</w:t>
      </w:r>
      <w:r>
        <w:rPr>
          <w:rFonts w:hint="eastAsia"/>
        </w:rPr>
        <w:t>营期废气主要为：SO</w:t>
      </w:r>
      <w:r>
        <w:rPr>
          <w:rFonts w:hint="eastAsia"/>
          <w:vertAlign w:val="subscript"/>
        </w:rPr>
        <w:t>2</w:t>
      </w:r>
      <w:r>
        <w:rPr>
          <w:rFonts w:hint="eastAsia"/>
        </w:rPr>
        <w:t>、NO</w:t>
      </w:r>
      <w:r>
        <w:rPr>
          <w:rFonts w:hint="eastAsia"/>
          <w:vertAlign w:val="subscript"/>
        </w:rPr>
        <w:t>X</w:t>
      </w:r>
      <w:r>
        <w:rPr>
          <w:rFonts w:hint="eastAsia"/>
        </w:rPr>
        <w:t>和非甲烷总烃。通过使用洁净能源——天然气，采用先进的燃烧技术，通过15m高的排气筒排放后，可以满足</w:t>
      </w:r>
      <w:r>
        <w:t>《</w:t>
      </w:r>
      <w:r>
        <w:rPr>
          <w:rFonts w:hint="eastAsia"/>
        </w:rPr>
        <w:t>工业炉窑</w:t>
      </w:r>
      <w:r>
        <w:t>大气污染物排放标准》(GB</w:t>
      </w:r>
      <w:r>
        <w:rPr>
          <w:rFonts w:hint="eastAsia"/>
        </w:rPr>
        <w:t>9078</w:t>
      </w:r>
      <w:r>
        <w:t>-</w:t>
      </w:r>
      <w:r>
        <w:rPr>
          <w:rFonts w:hint="eastAsia"/>
        </w:rPr>
        <w:t>1996</w:t>
      </w:r>
      <w:r>
        <w:t>)</w:t>
      </w:r>
      <w:r>
        <w:rPr>
          <w:rFonts w:hint="eastAsia"/>
        </w:rPr>
        <w:t>。分馏塔顶部会有一定量的分馏尾气需要排放，本项目将这部分尾气又作为燃料返回到管式炉作为燃料综合利用，不外排。</w:t>
      </w:r>
    </w:p>
    <w:p>
      <w:pPr>
        <w:pStyle w:val="124"/>
        <w:ind w:firstLine="560"/>
      </w:pPr>
      <w:r>
        <w:rPr>
          <w:rFonts w:hint="eastAsia"/>
        </w:rPr>
        <w:t>防水卷材车间</w:t>
      </w:r>
      <w:r>
        <w:t>废气</w:t>
      </w:r>
      <w:r>
        <w:rPr>
          <w:rFonts w:hint="eastAsia"/>
        </w:rPr>
        <w:t>主要是防水卷材生产过程中沥青烟、苯并[a]芘、非甲烷总烃，锅炉废气（颗粒物、</w:t>
      </w:r>
      <w:r>
        <w:t>SO</w:t>
      </w:r>
      <w:r>
        <w:rPr>
          <w:vertAlign w:val="subscript"/>
        </w:rPr>
        <w:t>2</w:t>
      </w:r>
      <w:r>
        <w:rPr>
          <w:rFonts w:hint="eastAsia"/>
        </w:rPr>
        <w:t>、</w:t>
      </w:r>
      <w:r>
        <w:t>NOx</w:t>
      </w:r>
      <w:r>
        <w:rPr>
          <w:rFonts w:hint="eastAsia"/>
        </w:rPr>
        <w:t>）、料仓粉尘</w:t>
      </w:r>
      <w:r>
        <w:t>。</w:t>
      </w:r>
      <w:r>
        <w:rPr>
          <w:rFonts w:hint="eastAsia"/>
        </w:rPr>
        <w:t>防水卷材生产过程中</w:t>
      </w:r>
      <w:r>
        <w:t>浸涂废气</w:t>
      </w:r>
      <w:r>
        <w:rPr>
          <w:rFonts w:hint="eastAsia"/>
        </w:rPr>
        <w:t>（沥青烟、苯并[a]芘、非甲烷总烃）</w:t>
      </w:r>
      <w:r>
        <w:t>排放点设置</w:t>
      </w:r>
      <w:r>
        <w:rPr>
          <w:rFonts w:hint="eastAsia"/>
        </w:rPr>
        <w:t>集气罩</w:t>
      </w:r>
      <w:r>
        <w:t>，由管道收集后经</w:t>
      </w:r>
      <w:r>
        <w:rPr>
          <w:rFonts w:hint="eastAsia"/>
        </w:rPr>
        <w:t>喷淋装置+电捕焦油器+汽水分离器+UV光氧催化处理后由23</w:t>
      </w:r>
      <w:r>
        <w:t>米</w:t>
      </w:r>
      <w:r>
        <w:rPr>
          <w:rFonts w:hint="eastAsia"/>
        </w:rPr>
        <w:t>高排气</w:t>
      </w:r>
      <w:r>
        <w:t xml:space="preserve">筒排放，满足《大气污染物综合排放标准》（GB16297-1996）中苯并[a]芘、沥青烟和非甲烷总烃二级标准； </w:t>
      </w:r>
    </w:p>
    <w:p>
      <w:pPr>
        <w:pStyle w:val="124"/>
        <w:ind w:firstLine="560"/>
      </w:pPr>
      <w:r>
        <w:rPr>
          <w:rFonts w:hint="eastAsia"/>
        </w:rPr>
        <w:t>（2）废水</w:t>
      </w:r>
    </w:p>
    <w:p>
      <w:pPr>
        <w:pStyle w:val="124"/>
        <w:ind w:firstLine="560"/>
      </w:pPr>
      <w:r>
        <w:rPr>
          <w:rFonts w:hint="eastAsia"/>
        </w:rPr>
        <w:t>本项目生产工艺无需用水。运营期废水主要为生活污水、化验室废水和设备及生产车间地面冲洗废水。</w:t>
      </w:r>
    </w:p>
    <w:p>
      <w:pPr>
        <w:pStyle w:val="124"/>
        <w:ind w:firstLine="560"/>
        <w:rPr>
          <w:rFonts w:hint="eastAsia" w:eastAsia="仿宋"/>
          <w:lang w:eastAsia="zh-CN"/>
        </w:rPr>
      </w:pPr>
      <w:r>
        <w:rPr>
          <w:rFonts w:hint="eastAsia"/>
        </w:rPr>
        <w:t>在厂区北侧建设300m</w:t>
      </w:r>
      <w:r>
        <w:rPr>
          <w:rFonts w:hint="eastAsia"/>
          <w:vertAlign w:val="superscript"/>
        </w:rPr>
        <w:t>3</w:t>
      </w:r>
      <w:r>
        <w:rPr>
          <w:rFonts w:hint="eastAsia"/>
        </w:rPr>
        <w:t>的事故池，其结构为钢筋砼，并做防渗处理，以确保在发生火灾消防或事故排放情况下，污水全部被截留在厂区事故池内</w:t>
      </w:r>
      <w:r>
        <w:rPr>
          <w:rFonts w:hint="eastAsia"/>
          <w:lang w:eastAsia="zh-CN"/>
        </w:rPr>
        <w:t>，如出现极端情况造成应急池溢流，使用潜水泵将污水转移至储罐或吨箱中。</w:t>
      </w:r>
    </w:p>
    <w:p>
      <w:pPr>
        <w:pStyle w:val="124"/>
        <w:ind w:firstLine="560"/>
      </w:pPr>
      <w:r>
        <w:rPr>
          <w:rFonts w:hint="eastAsia"/>
        </w:rPr>
        <w:t>（3）噪声</w:t>
      </w:r>
    </w:p>
    <w:p>
      <w:pPr>
        <w:pStyle w:val="124"/>
        <w:ind w:firstLine="560"/>
      </w:pPr>
      <w:r>
        <w:rPr>
          <w:rFonts w:hint="eastAsia" w:ascii="仿宋" w:hAnsi="仿宋" w:eastAsia="仿宋" w:cs="仿宋"/>
        </w:rPr>
        <w:t>本工程高噪声设备有真空泵，压缩机等，根据类比，设备噪声值范围在80-90dB(A)之间，</w:t>
      </w:r>
      <w:r>
        <w:rPr>
          <w:rFonts w:hint="eastAsia"/>
        </w:rPr>
        <w:t>在生产运行过程中各噪声源噪声值经过屏蔽、距离衰减后，</w:t>
      </w:r>
      <w:r>
        <w:rPr>
          <w:rFonts w:hint="eastAsia" w:ascii="Times New Roman" w:hAnsi="Times New Roman"/>
        </w:rPr>
        <w:t>四个厂界噪声叠后影响值均符合《</w:t>
      </w:r>
      <w:r>
        <w:rPr>
          <w:rFonts w:hint="eastAsia" w:ascii="Times New Roman" w:hAnsi="Times New Roman"/>
          <w:lang w:eastAsia="zh-CN"/>
        </w:rPr>
        <w:t>声环境质量标准</w:t>
      </w:r>
      <w:r>
        <w:rPr>
          <w:rFonts w:hint="eastAsia" w:ascii="Times New Roman" w:hAnsi="Times New Roman"/>
        </w:rPr>
        <w:t>》（GB</w:t>
      </w:r>
      <w:r>
        <w:rPr>
          <w:rFonts w:hint="eastAsia" w:ascii="Times New Roman" w:hAnsi="Times New Roman"/>
          <w:lang w:val="en-US" w:eastAsia="zh-CN"/>
        </w:rPr>
        <w:t>3096</w:t>
      </w:r>
      <w:r>
        <w:rPr>
          <w:rFonts w:hint="eastAsia" w:ascii="Times New Roman" w:hAnsi="Times New Roman"/>
        </w:rPr>
        <w:t>-2008）</w:t>
      </w:r>
      <w:r>
        <w:rPr>
          <w:rFonts w:hint="eastAsia" w:ascii="Times New Roman" w:hAnsi="Times New Roman"/>
          <w:lang w:eastAsia="zh-CN"/>
        </w:rPr>
        <w:t>和</w:t>
      </w:r>
      <w:r>
        <w:rPr>
          <w:rFonts w:hint="eastAsia" w:ascii="Times New Roman" w:hAnsi="Times New Roman"/>
        </w:rPr>
        <w:t>《工业企业厂界环境噪声排放标准》（GB12348-2008）中的3标准的要求，建</w:t>
      </w:r>
      <w:r>
        <w:rPr>
          <w:rFonts w:hint="eastAsia"/>
        </w:rPr>
        <w:t>设项目所在地区位于头屯河工业区内，不会出现噪声扰民的现象。</w:t>
      </w:r>
    </w:p>
    <w:p>
      <w:pPr>
        <w:pStyle w:val="124"/>
        <w:ind w:firstLine="560"/>
      </w:pPr>
      <w:r>
        <w:rPr>
          <w:rFonts w:hint="eastAsia"/>
        </w:rPr>
        <w:t>（4）固废</w:t>
      </w:r>
    </w:p>
    <w:p>
      <w:pPr>
        <w:pStyle w:val="124"/>
        <w:ind w:firstLine="560"/>
        <w:rPr>
          <w:rFonts w:hint="eastAsia" w:eastAsia="仿宋"/>
          <w:lang w:eastAsia="zh-CN"/>
        </w:rPr>
      </w:pPr>
      <w:r>
        <w:rPr>
          <w:rFonts w:hint="eastAsia"/>
        </w:rPr>
        <w:t>我公司产生的固体废物主要是</w:t>
      </w:r>
      <w:r>
        <w:rPr>
          <w:rFonts w:hint="eastAsia"/>
          <w:lang w:eastAsia="zh-CN"/>
        </w:rPr>
        <w:t>罐底油泥</w:t>
      </w:r>
      <w:r>
        <w:rPr>
          <w:rFonts w:hint="eastAsia"/>
          <w:lang w:val="en-US" w:eastAsia="zh-CN"/>
        </w:rPr>
        <w:t>251-008-08</w:t>
      </w:r>
      <w:r>
        <w:rPr>
          <w:rFonts w:hint="eastAsia"/>
        </w:rPr>
        <w:t>，每年约1吨</w:t>
      </w:r>
      <w:r>
        <w:rPr>
          <w:rFonts w:hint="eastAsia"/>
          <w:lang w:eastAsia="zh-CN"/>
        </w:rPr>
        <w:t>，储存于储罐中，清罐时产生；用于尾气吸附的活性炭900-039-49，每年产生</w:t>
      </w:r>
      <w:r>
        <w:rPr>
          <w:rFonts w:hint="eastAsia"/>
          <w:lang w:val="en-US" w:eastAsia="zh-CN"/>
        </w:rPr>
        <w:t>50公斤；以及沾油包装物如铁桶等900-041-49，每年产生50个。产生危废统一贮存在危废库房，并</w:t>
      </w:r>
      <w:r>
        <w:rPr>
          <w:rFonts w:hint="eastAsia"/>
          <w:lang w:eastAsia="zh-CN"/>
        </w:rPr>
        <w:t>委托新疆金派环保科技有限公司进行处置。</w:t>
      </w:r>
    </w:p>
    <w:p>
      <w:pPr>
        <w:pStyle w:val="124"/>
        <w:ind w:firstLine="560"/>
      </w:pPr>
      <w:r>
        <w:rPr>
          <w:rFonts w:hint="eastAsia"/>
        </w:rPr>
        <w:t>另外项目共有管理及工作人员104人，生活垃圾按照每人每天1kg计算，生活垃圾年排放量为34.6t。生活垃圾厂内定点存放，定期运往乌鲁木齐市生活垃圾填埋场处理。</w:t>
      </w:r>
    </w:p>
    <w:p>
      <w:pPr>
        <w:pStyle w:val="43"/>
        <w:ind w:firstLine="883"/>
      </w:pPr>
      <w:bookmarkStart w:id="84" w:name="_Toc10214"/>
      <w:bookmarkStart w:id="85" w:name="_Toc15440"/>
      <w:bookmarkStart w:id="86" w:name="_Toc29897"/>
      <w:bookmarkStart w:id="87" w:name="_Toc505945689"/>
      <w:bookmarkStart w:id="88" w:name="_Toc20687"/>
      <w:r>
        <w:rPr>
          <w:rFonts w:hint="eastAsia"/>
        </w:rPr>
        <w:t>环境</w:t>
      </w:r>
      <w:r>
        <w:t>风险源及环境风险评价</w:t>
      </w:r>
      <w:bookmarkEnd w:id="84"/>
      <w:bookmarkEnd w:id="85"/>
      <w:bookmarkEnd w:id="86"/>
      <w:bookmarkEnd w:id="87"/>
      <w:bookmarkEnd w:id="88"/>
    </w:p>
    <w:p>
      <w:pPr>
        <w:pStyle w:val="131"/>
      </w:pPr>
      <w:bookmarkStart w:id="89" w:name="_Toc9882"/>
      <w:bookmarkStart w:id="90" w:name="_Toc19399"/>
      <w:bookmarkStart w:id="91" w:name="_Toc505945690"/>
      <w:r>
        <w:rPr>
          <w:rFonts w:hint="eastAsia"/>
        </w:rPr>
        <w:t>环境</w:t>
      </w:r>
      <w:r>
        <w:t>风险</w:t>
      </w:r>
      <w:r>
        <w:rPr>
          <w:rFonts w:hint="eastAsia"/>
        </w:rPr>
        <w:t>识别</w:t>
      </w:r>
      <w:bookmarkEnd w:id="89"/>
    </w:p>
    <w:p>
      <w:pPr>
        <w:pStyle w:val="124"/>
        <w:ind w:firstLine="560"/>
      </w:pPr>
      <w:r>
        <w:rPr>
          <w:rFonts w:hint="eastAsia"/>
        </w:rPr>
        <w:t>根据风险评价资料，新疆福克油品股份有限公司在生产、加工、运输（厂内）、使用、贮存、处置等涉及危险物质的生产过程，以及其它公辅和环保工程所存在的环境风险源情况</w:t>
      </w:r>
      <w:r>
        <w:t>进行分析</w:t>
      </w:r>
      <w:r>
        <w:rPr>
          <w:rFonts w:hint="eastAsia"/>
        </w:rPr>
        <w:t>。</w:t>
      </w:r>
    </w:p>
    <w:p>
      <w:pPr>
        <w:pStyle w:val="131"/>
      </w:pPr>
      <w:bookmarkStart w:id="92" w:name="_Toc21787"/>
      <w:r>
        <w:rPr>
          <w:rFonts w:hint="eastAsia"/>
        </w:rPr>
        <w:t>环境</w:t>
      </w:r>
      <w:r>
        <w:t>风险源</w:t>
      </w:r>
      <w:bookmarkEnd w:id="90"/>
      <w:bookmarkEnd w:id="91"/>
      <w:bookmarkEnd w:id="92"/>
    </w:p>
    <w:p>
      <w:pPr>
        <w:pStyle w:val="124"/>
        <w:ind w:firstLine="560"/>
        <w:rPr>
          <w:rFonts w:eastAsia="TimesNewRomanPSMT"/>
          <w:color w:val="000000" w:themeColor="text1"/>
          <w:kern w:val="0"/>
          <w:szCs w:val="24"/>
          <w14:textFill>
            <w14:solidFill>
              <w14:schemeClr w14:val="tx1"/>
            </w14:solidFill>
          </w14:textFill>
        </w:rPr>
      </w:pPr>
      <w:r>
        <w:rPr>
          <w:rFonts w:hint="eastAsia"/>
        </w:rPr>
        <w:t>重大危险源是指长期或临时生产、加工、搬运、使用或贮存危险物质，且危险物质的数量等于或超过临界量的单元。根据《建设项目环境风险技术导则》（HJ/T169-2018）、《危险化学品重大危险源辨识》（GB18218-2018）和《企事业</w:t>
      </w:r>
      <w:r>
        <w:t>突发环境事件风险分级方法</w:t>
      </w:r>
      <w:r>
        <w:rPr>
          <w:rFonts w:hint="eastAsia"/>
        </w:rPr>
        <w:t>》（HJ</w:t>
      </w:r>
      <w:r>
        <w:t xml:space="preserve"> </w:t>
      </w:r>
      <w:r>
        <w:rPr>
          <w:rFonts w:hint="eastAsia"/>
        </w:rPr>
        <w:t>941-2018）中</w:t>
      </w:r>
      <w:r>
        <w:t>相关规定</w:t>
      </w:r>
      <w:r>
        <w:rPr>
          <w:rFonts w:hint="eastAsia"/>
        </w:rPr>
        <w:t>，对公司使用的原辅料进行危险性辨识，根据新疆福克油品股份有限公司的实际情况，选择生产、运输、使用或贮存中涉及的主要化学品，按附录A，进行物质危险性判定。</w:t>
      </w:r>
    </w:p>
    <w:p>
      <w:pPr>
        <w:pStyle w:val="131"/>
      </w:pPr>
      <w:bookmarkStart w:id="93" w:name="_Toc31143"/>
      <w:r>
        <w:rPr>
          <w:rFonts w:hint="eastAsia"/>
        </w:rPr>
        <w:t>突发</w:t>
      </w:r>
      <w:r>
        <w:t>环境事件分级</w:t>
      </w:r>
      <w:bookmarkEnd w:id="93"/>
    </w:p>
    <w:p>
      <w:pPr>
        <w:pStyle w:val="124"/>
        <w:ind w:firstLine="560"/>
      </w:pPr>
      <w:r>
        <w:rPr>
          <w:rFonts w:hint="eastAsia"/>
        </w:rPr>
        <w:t>根据《企事业</w:t>
      </w:r>
      <w:r>
        <w:t>突发环境事件风险分级方法</w:t>
      </w:r>
      <w:r>
        <w:rPr>
          <w:rFonts w:hint="eastAsia"/>
        </w:rPr>
        <w:t>》（HJ</w:t>
      </w:r>
      <w:r>
        <w:t xml:space="preserve"> </w:t>
      </w:r>
      <w:r>
        <w:rPr>
          <w:rFonts w:hint="eastAsia"/>
        </w:rPr>
        <w:t>941-2018）中规定，计算</w:t>
      </w:r>
      <w:r>
        <w:t>涉</w:t>
      </w:r>
      <w:r>
        <w:rPr>
          <w:rFonts w:hint="eastAsia"/>
        </w:rPr>
        <w:t>水</w:t>
      </w:r>
      <w:r>
        <w:t>风险物质在厂界内的存在量与其</w:t>
      </w:r>
      <w:r>
        <w:rPr>
          <w:rFonts w:hint="eastAsia"/>
        </w:rPr>
        <w:t>临界</w:t>
      </w:r>
      <w:r>
        <w:t>量的比值</w:t>
      </w:r>
      <w:r>
        <w:rPr>
          <w:rFonts w:hint="eastAsia"/>
        </w:rPr>
        <w:t>Q。</w:t>
      </w:r>
    </w:p>
    <w:p>
      <w:pPr>
        <w:pStyle w:val="124"/>
        <w:ind w:firstLine="56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当企业</w:t>
      </w:r>
      <w:r>
        <w:t>只涉及一种风险物质时，</w:t>
      </w:r>
      <w:r>
        <w:rPr>
          <w:rFonts w:hint="eastAsia"/>
        </w:rPr>
        <w:t>该</w:t>
      </w:r>
      <w:r>
        <w:t>物质的数量与其临界</w:t>
      </w:r>
      <w:r>
        <w:rPr>
          <w:rFonts w:hint="eastAsia"/>
        </w:rPr>
        <w:t>比值</w:t>
      </w:r>
      <w:r>
        <w:t>，即为</w:t>
      </w:r>
      <w:r>
        <w:rPr>
          <w:rFonts w:hint="eastAsia"/>
        </w:rPr>
        <w:t>Q。</w:t>
      </w:r>
    </w:p>
    <w:p>
      <w:pPr>
        <w:pStyle w:val="124"/>
        <w:ind w:firstLine="56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当</w:t>
      </w:r>
      <w:r>
        <w:t>企业存在多种风险物质时，按</w:t>
      </w:r>
      <w:r>
        <w:rPr>
          <w:rFonts w:hint="eastAsia"/>
        </w:rPr>
        <w:t>下</w:t>
      </w:r>
      <w:r>
        <w:t>式计算：</w:t>
      </w:r>
    </w:p>
    <w:p>
      <w:pPr>
        <w:ind w:firstLine="600"/>
        <w:contextualSpacing/>
        <w:jc w:val="center"/>
        <w:rPr>
          <w:rFonts w:ascii="仿宋" w:hAnsi="仿宋" w:eastAsia="仿宋"/>
          <w:sz w:val="28"/>
          <w:szCs w:val="28"/>
        </w:rPr>
      </w:pPr>
      <w:r>
        <w:rPr>
          <w:rFonts w:eastAsia="仿宋_GB2312"/>
          <w:sz w:val="30"/>
        </w:rPr>
        <w:drawing>
          <wp:inline distT="0" distB="0" distL="0" distR="0">
            <wp:extent cx="1751330" cy="551815"/>
            <wp:effectExtent l="19050" t="0" r="1270" b="0"/>
            <wp:docPr id="8" name="图片框 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框 1046"/>
                    <pic:cNvPicPr>
                      <a:picLocks noChangeAspect="1" noChangeArrowheads="1"/>
                    </pic:cNvPicPr>
                  </pic:nvPicPr>
                  <pic:blipFill>
                    <a:blip r:embed="rId19" cstate="print"/>
                    <a:srcRect/>
                    <a:stretch>
                      <a:fillRect/>
                    </a:stretch>
                  </pic:blipFill>
                  <pic:spPr>
                    <a:xfrm>
                      <a:off x="0" y="0"/>
                      <a:ext cx="1751330" cy="551815"/>
                    </a:xfrm>
                    <a:prstGeom prst="rect">
                      <a:avLst/>
                    </a:prstGeom>
                    <a:noFill/>
                    <a:ln w="9525">
                      <a:noFill/>
                      <a:miter lim="800000"/>
                      <a:headEnd/>
                      <a:tailEnd/>
                    </a:ln>
                  </pic:spPr>
                </pic:pic>
              </a:graphicData>
            </a:graphic>
          </wp:inline>
        </w:drawing>
      </w:r>
    </w:p>
    <w:p>
      <w:pPr>
        <w:pStyle w:val="124"/>
        <w:ind w:firstLine="560"/>
      </w:pPr>
      <w:r>
        <w:t>式中：q</w:t>
      </w:r>
      <w:r>
        <w:rPr>
          <w:vertAlign w:val="subscript"/>
        </w:rPr>
        <w:t>1</w:t>
      </w:r>
      <w:r>
        <w:t>、q</w:t>
      </w:r>
      <w:r>
        <w:rPr>
          <w:vertAlign w:val="subscript"/>
        </w:rPr>
        <w:t>2</w:t>
      </w:r>
      <w:r>
        <w:t>、</w:t>
      </w:r>
      <w:r>
        <w:rPr>
          <w:spacing w:val="6"/>
          <w:lang w:val="zh-CN"/>
        </w:rPr>
        <w:t>···</w:t>
      </w:r>
      <w:r>
        <w:t>q</w:t>
      </w:r>
      <w:r>
        <w:rPr>
          <w:vertAlign w:val="subscript"/>
        </w:rPr>
        <w:t>n</w:t>
      </w:r>
      <w:r>
        <w:t>——每种环境风险物质的最大存在总量，t；</w:t>
      </w:r>
    </w:p>
    <w:p>
      <w:pPr>
        <w:pStyle w:val="124"/>
        <w:ind w:firstLine="1400" w:firstLineChars="500"/>
      </w:pPr>
      <w:r>
        <w:t>Q</w:t>
      </w:r>
      <w:r>
        <w:rPr>
          <w:vertAlign w:val="subscript"/>
        </w:rPr>
        <w:t>1</w:t>
      </w:r>
      <w:r>
        <w:t>、Q</w:t>
      </w:r>
      <w:r>
        <w:rPr>
          <w:vertAlign w:val="subscript"/>
        </w:rPr>
        <w:t>2</w:t>
      </w:r>
      <w:r>
        <w:t>、</w:t>
      </w:r>
      <w:r>
        <w:rPr>
          <w:spacing w:val="6"/>
          <w:lang w:val="zh-CN"/>
        </w:rPr>
        <w:t>···</w:t>
      </w:r>
      <w:r>
        <w:t>Q</w:t>
      </w:r>
      <w:r>
        <w:rPr>
          <w:vertAlign w:val="subscript"/>
        </w:rPr>
        <w:t>n</w:t>
      </w:r>
      <w:r>
        <w:t>——每种环境风险物质相对应的临界量，t。</w:t>
      </w:r>
    </w:p>
    <w:p>
      <w:pPr>
        <w:pStyle w:val="124"/>
        <w:ind w:firstLine="478" w:firstLineChars="171"/>
      </w:pPr>
      <w:r>
        <w:rPr>
          <w:rFonts w:hint="eastAsia"/>
        </w:rPr>
        <w:t>计算出Q值后，将Q值划分为</w:t>
      </w:r>
      <w:r>
        <w:rPr>
          <w:rFonts w:hint="eastAsia"/>
          <w:lang w:val="en-US" w:eastAsia="zh-CN"/>
        </w:rPr>
        <w:t>3</w:t>
      </w:r>
      <w:r>
        <w:rPr>
          <w:rFonts w:hint="eastAsia"/>
        </w:rPr>
        <w:t>级，分别为：</w:t>
      </w:r>
    </w:p>
    <w:p>
      <w:pPr>
        <w:pStyle w:val="124"/>
        <w:ind w:firstLine="420" w:firstLineChars="150"/>
      </w:pPr>
      <w:r>
        <w:rPr>
          <w:rFonts w:hint="eastAsia"/>
        </w:rPr>
        <w:t>当Q＜1时</w:t>
      </w:r>
      <w:r>
        <w:t>，</w:t>
      </w:r>
      <w:r>
        <w:rPr>
          <w:rFonts w:hint="eastAsia"/>
        </w:rPr>
        <w:t xml:space="preserve">企业直接评为一般环境风险等级，以Q 表示。 </w:t>
      </w:r>
      <w:r>
        <w:t xml:space="preserve"> </w:t>
      </w:r>
    </w:p>
    <w:p>
      <w:pPr>
        <w:pStyle w:val="124"/>
        <w:ind w:firstLine="420" w:firstLineChars="150"/>
      </w:pPr>
      <w:r>
        <w:rPr>
          <w:rFonts w:hint="eastAsia"/>
        </w:rPr>
        <w:t>当Q≥1 时，将Q 值划分为：（1）1≤Q＜10；（2） 10≤Q＜100；（3） Q≥100，分别以Q1、Q2和Q3表示。</w:t>
      </w:r>
    </w:p>
    <w:p>
      <w:pPr>
        <w:pStyle w:val="124"/>
        <w:ind w:firstLine="560"/>
      </w:pPr>
      <w:r>
        <w:rPr>
          <w:rFonts w:hint="eastAsia"/>
        </w:rPr>
        <w:t>根据新疆福克油品股份有限公司的实际情况，按照《危险化学品重大危险源辨识》（GB18218-2018）和《企事业</w:t>
      </w:r>
      <w:r>
        <w:t>突发环境事件风险分级方法</w:t>
      </w:r>
      <w:r>
        <w:rPr>
          <w:rFonts w:hint="eastAsia"/>
        </w:rPr>
        <w:t>》（HJ</w:t>
      </w:r>
      <w:r>
        <w:t xml:space="preserve"> </w:t>
      </w:r>
      <w:r>
        <w:rPr>
          <w:rFonts w:hint="eastAsia"/>
        </w:rPr>
        <w:t>941-2018）中临界量要求，全厂所涉及到物质包括废矿物油、成品燃料油等的闪点均大于61℃。本评价各物质的临界值参照GB18218-2018《危险化学品重大危险源辨识》表2中“易燃液体：23℃&lt;闪点&lt;61℃的液体”的临界量。各危险物质临界量及其企业实际存量见表3-</w:t>
      </w:r>
      <w:r>
        <w:rPr>
          <w:rFonts w:hint="eastAsia"/>
          <w:lang w:val="en-US" w:eastAsia="zh-CN"/>
        </w:rPr>
        <w:t>1</w:t>
      </w:r>
      <w:r>
        <w:rPr>
          <w:rFonts w:hint="eastAsia"/>
        </w:rPr>
        <w:t>。</w:t>
      </w:r>
    </w:p>
    <w:p>
      <w:pPr>
        <w:pStyle w:val="139"/>
        <w:spacing w:after="48"/>
        <w:ind w:firstLine="2280" w:firstLineChars="950"/>
        <w:jc w:val="both"/>
        <w:rPr>
          <w:rFonts w:hint="eastAsia"/>
        </w:rPr>
      </w:pPr>
      <w:bookmarkStart w:id="94" w:name="_Toc3636"/>
      <w:r>
        <w:rPr>
          <w:rFonts w:hint="eastAsia"/>
        </w:rPr>
        <w:t>表3-</w:t>
      </w:r>
      <w:r>
        <w:rPr>
          <w:rFonts w:hint="eastAsia"/>
          <w:lang w:val="en-US" w:eastAsia="zh-CN"/>
        </w:rPr>
        <w:t>1</w:t>
      </w:r>
      <w:r>
        <w:rPr>
          <w:rFonts w:hint="eastAsia"/>
        </w:rPr>
        <w:t xml:space="preserve">  危险品工作场所使用量和临界量</w:t>
      </w:r>
      <w:bookmarkEnd w:id="94"/>
    </w:p>
    <w:tbl>
      <w:tblPr>
        <w:tblStyle w:val="41"/>
        <w:tblW w:w="88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607"/>
        <w:gridCol w:w="1748"/>
        <w:gridCol w:w="2025"/>
        <w:gridCol w:w="1373"/>
        <w:gridCol w:w="1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10" w:type="dxa"/>
            <w:tcBorders>
              <w:tl2br w:val="nil"/>
              <w:tr2bl w:val="nil"/>
            </w:tcBorders>
            <w:vAlign w:val="center"/>
          </w:tcPr>
          <w:p>
            <w:pPr>
              <w:pStyle w:val="186"/>
              <w:adjustRightInd/>
              <w:ind w:firstLine="0" w:firstLineChars="0"/>
              <w:rPr>
                <w:rFonts w:ascii="仿宋" w:hAnsi="仿宋" w:eastAsia="仿宋" w:cs="仿宋"/>
                <w:color w:val="000000"/>
                <w:sz w:val="21"/>
              </w:rPr>
            </w:pPr>
            <w:bookmarkStart w:id="95" w:name="_Toc3964"/>
            <w:bookmarkStart w:id="96" w:name="_Toc17453"/>
            <w:bookmarkStart w:id="97" w:name="_Toc7637"/>
            <w:r>
              <w:rPr>
                <w:rFonts w:hint="eastAsia" w:ascii="仿宋" w:hAnsi="仿宋" w:eastAsia="仿宋" w:cs="仿宋"/>
                <w:color w:val="000000"/>
                <w:sz w:val="21"/>
              </w:rPr>
              <w:t>序号</w:t>
            </w:r>
          </w:p>
        </w:tc>
        <w:tc>
          <w:tcPr>
            <w:tcW w:w="1607" w:type="dxa"/>
            <w:tcBorders>
              <w:tl2br w:val="nil"/>
              <w:tr2bl w:val="nil"/>
            </w:tcBorders>
            <w:vAlign w:val="center"/>
          </w:tcPr>
          <w:p>
            <w:pPr>
              <w:pStyle w:val="186"/>
              <w:adjustRightInd/>
              <w:ind w:firstLine="0" w:firstLineChars="0"/>
              <w:rPr>
                <w:rFonts w:hint="eastAsia" w:ascii="仿宋" w:hAnsi="仿宋" w:eastAsia="仿宋" w:cs="仿宋"/>
                <w:color w:val="000000"/>
                <w:sz w:val="21"/>
                <w:lang w:eastAsia="zh-CN"/>
              </w:rPr>
            </w:pPr>
            <w:r>
              <w:rPr>
                <w:rFonts w:hint="eastAsia" w:ascii="仿宋" w:hAnsi="仿宋" w:eastAsia="仿宋" w:cs="仿宋"/>
                <w:color w:val="000000"/>
                <w:sz w:val="21"/>
                <w:lang w:eastAsia="zh-CN"/>
              </w:rPr>
              <w:t>风险单元</w:t>
            </w:r>
          </w:p>
        </w:tc>
        <w:tc>
          <w:tcPr>
            <w:tcW w:w="1748" w:type="dxa"/>
            <w:tcBorders>
              <w:tl2br w:val="nil"/>
              <w:tr2bl w:val="nil"/>
            </w:tcBorders>
            <w:vAlign w:val="center"/>
          </w:tcPr>
          <w:p>
            <w:pPr>
              <w:pStyle w:val="186"/>
              <w:adjustRightInd/>
              <w:ind w:firstLine="0" w:firstLineChars="0"/>
              <w:rPr>
                <w:rFonts w:ascii="仿宋" w:hAnsi="仿宋" w:eastAsia="仿宋" w:cs="仿宋"/>
                <w:color w:val="000000"/>
                <w:sz w:val="21"/>
              </w:rPr>
            </w:pPr>
            <w:r>
              <w:rPr>
                <w:rFonts w:hint="eastAsia" w:ascii="仿宋" w:hAnsi="仿宋" w:eastAsia="仿宋" w:cs="仿宋"/>
                <w:color w:val="000000"/>
                <w:sz w:val="21"/>
                <w:lang w:eastAsia="zh-CN"/>
              </w:rPr>
              <w:t>风险</w:t>
            </w:r>
            <w:r>
              <w:rPr>
                <w:rFonts w:hint="eastAsia" w:ascii="仿宋" w:hAnsi="仿宋" w:eastAsia="仿宋" w:cs="仿宋"/>
                <w:color w:val="000000"/>
                <w:sz w:val="21"/>
              </w:rPr>
              <w:t>物质名称</w:t>
            </w:r>
          </w:p>
        </w:tc>
        <w:tc>
          <w:tcPr>
            <w:tcW w:w="2025" w:type="dxa"/>
            <w:tcBorders>
              <w:tl2br w:val="nil"/>
              <w:tr2bl w:val="nil"/>
            </w:tcBorders>
            <w:vAlign w:val="center"/>
          </w:tcPr>
          <w:p>
            <w:pPr>
              <w:pStyle w:val="186"/>
              <w:adjustRightInd/>
              <w:ind w:firstLine="0" w:firstLineChars="0"/>
              <w:rPr>
                <w:rFonts w:ascii="仿宋" w:hAnsi="仿宋" w:eastAsia="仿宋" w:cs="仿宋"/>
                <w:color w:val="000000"/>
                <w:sz w:val="21"/>
              </w:rPr>
            </w:pPr>
            <w:r>
              <w:rPr>
                <w:rFonts w:hint="eastAsia" w:ascii="仿宋" w:hAnsi="仿宋" w:eastAsia="仿宋" w:cs="仿宋"/>
                <w:color w:val="000000"/>
                <w:sz w:val="21"/>
              </w:rPr>
              <w:t>最大存在量(t)</w:t>
            </w:r>
          </w:p>
        </w:tc>
        <w:tc>
          <w:tcPr>
            <w:tcW w:w="1373"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eastAsia="zh-CN"/>
              </w:rPr>
              <w:t>临界量</w:t>
            </w:r>
            <w:r>
              <w:rPr>
                <w:rFonts w:hint="eastAsia" w:ascii="仿宋" w:hAnsi="仿宋" w:eastAsia="仿宋" w:cs="仿宋"/>
                <w:color w:val="000000"/>
                <w:sz w:val="21"/>
                <w:lang w:val="en-US" w:eastAsia="zh-CN"/>
              </w:rPr>
              <w:t>/t</w:t>
            </w:r>
          </w:p>
        </w:tc>
        <w:tc>
          <w:tcPr>
            <w:tcW w:w="1415"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q/Q</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ascii="仿宋" w:hAnsi="仿宋" w:eastAsia="仿宋" w:cs="仿宋"/>
                <w:color w:val="000000"/>
                <w:sz w:val="21"/>
              </w:rPr>
            </w:pPr>
            <w:r>
              <w:rPr>
                <w:rFonts w:hint="eastAsia" w:ascii="仿宋" w:hAnsi="仿宋" w:eastAsia="仿宋" w:cs="仿宋"/>
                <w:color w:val="000000"/>
                <w:sz w:val="21"/>
              </w:rPr>
              <w:t>1</w:t>
            </w:r>
          </w:p>
        </w:tc>
        <w:tc>
          <w:tcPr>
            <w:tcW w:w="1607" w:type="dxa"/>
            <w:vMerge w:val="restart"/>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r>
              <w:rPr>
                <w:rStyle w:val="152"/>
                <w:rFonts w:hint="eastAsia" w:ascii="仿宋" w:hAnsi="仿宋" w:eastAsia="仿宋" w:cs="仿宋"/>
                <w:lang w:eastAsia="zh-CN"/>
              </w:rPr>
              <w:t>原料罐区</w:t>
            </w:r>
          </w:p>
        </w:tc>
        <w:tc>
          <w:tcPr>
            <w:tcW w:w="1748" w:type="dxa"/>
            <w:tcBorders>
              <w:tl2br w:val="nil"/>
              <w:tr2bl w:val="nil"/>
            </w:tcBorders>
            <w:vAlign w:val="center"/>
          </w:tcPr>
          <w:p>
            <w:pPr>
              <w:pStyle w:val="143"/>
              <w:spacing w:line="300" w:lineRule="auto"/>
              <w:jc w:val="both"/>
              <w:rPr>
                <w:rFonts w:ascii="仿宋" w:hAnsi="仿宋" w:eastAsia="仿宋" w:cs="仿宋"/>
              </w:rPr>
            </w:pPr>
            <w:r>
              <w:rPr>
                <w:rStyle w:val="152"/>
                <w:rFonts w:hint="eastAsia" w:ascii="仿宋" w:hAnsi="仿宋" w:eastAsia="仿宋" w:cs="仿宋"/>
              </w:rPr>
              <w:t>废矿物油</w:t>
            </w:r>
          </w:p>
        </w:tc>
        <w:tc>
          <w:tcPr>
            <w:tcW w:w="2025" w:type="dxa"/>
            <w:tcBorders>
              <w:tl2br w:val="nil"/>
              <w:tr2bl w:val="nil"/>
            </w:tcBorders>
            <w:vAlign w:val="center"/>
          </w:tcPr>
          <w:p>
            <w:pPr>
              <w:pStyle w:val="143"/>
              <w:spacing w:line="300" w:lineRule="auto"/>
              <w:rPr>
                <w:rFonts w:hint="default" w:ascii="仿宋" w:hAnsi="仿宋" w:eastAsia="仿宋" w:cs="仿宋"/>
                <w:lang w:val="en-US" w:eastAsia="zh-CN"/>
              </w:rPr>
            </w:pPr>
            <w:r>
              <w:rPr>
                <w:rStyle w:val="152"/>
                <w:rFonts w:hint="eastAsia" w:ascii="仿宋" w:hAnsi="仿宋" w:eastAsia="仿宋" w:cs="仿宋"/>
                <w:lang w:val="en-US" w:eastAsia="zh-CN"/>
              </w:rPr>
              <w:t>1000</w:t>
            </w:r>
          </w:p>
        </w:tc>
        <w:tc>
          <w:tcPr>
            <w:tcW w:w="1373" w:type="dxa"/>
            <w:vMerge w:val="restart"/>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2500</w:t>
            </w:r>
          </w:p>
        </w:tc>
        <w:tc>
          <w:tcPr>
            <w:tcW w:w="1415" w:type="dxa"/>
            <w:vMerge w:val="restart"/>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2</w:t>
            </w:r>
          </w:p>
        </w:tc>
        <w:tc>
          <w:tcPr>
            <w:tcW w:w="1607" w:type="dxa"/>
            <w:vMerge w:val="continue"/>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p>
        </w:tc>
        <w:tc>
          <w:tcPr>
            <w:tcW w:w="1748" w:type="dxa"/>
            <w:tcBorders>
              <w:tl2br w:val="nil"/>
              <w:tr2bl w:val="nil"/>
            </w:tcBorders>
            <w:vAlign w:val="center"/>
          </w:tcPr>
          <w:p>
            <w:pPr>
              <w:pStyle w:val="143"/>
              <w:spacing w:line="300" w:lineRule="auto"/>
              <w:ind w:firstLine="0" w:firstLineChars="0"/>
              <w:jc w:val="both"/>
              <w:rPr>
                <w:rStyle w:val="152"/>
                <w:rFonts w:hint="eastAsia" w:ascii="仿宋" w:hAnsi="仿宋" w:eastAsia="仿宋" w:cs="仿宋"/>
                <w:lang w:eastAsia="zh-CN"/>
              </w:rPr>
            </w:pPr>
            <w:r>
              <w:rPr>
                <w:rStyle w:val="152"/>
                <w:rFonts w:hint="eastAsia" w:ascii="仿宋" w:hAnsi="仿宋" w:eastAsia="仿宋" w:cs="仿宋"/>
                <w:lang w:eastAsia="zh-CN"/>
              </w:rPr>
              <w:t>基础油</w:t>
            </w:r>
          </w:p>
        </w:tc>
        <w:tc>
          <w:tcPr>
            <w:tcW w:w="2025" w:type="dxa"/>
            <w:tcBorders>
              <w:tl2br w:val="nil"/>
              <w:tr2bl w:val="nil"/>
            </w:tcBorders>
            <w:vAlign w:val="center"/>
          </w:tcPr>
          <w:p>
            <w:pPr>
              <w:pStyle w:val="143"/>
              <w:spacing w:line="300" w:lineRule="auto"/>
              <w:ind w:firstLine="0" w:firstLineChars="0"/>
              <w:rPr>
                <w:rStyle w:val="152"/>
                <w:rFonts w:hint="default" w:ascii="仿宋" w:hAnsi="仿宋" w:eastAsia="仿宋" w:cs="仿宋"/>
                <w:lang w:val="en-US" w:eastAsia="zh-CN"/>
              </w:rPr>
            </w:pPr>
            <w:r>
              <w:rPr>
                <w:rStyle w:val="152"/>
                <w:rFonts w:hint="eastAsia" w:ascii="仿宋" w:hAnsi="仿宋" w:eastAsia="仿宋" w:cs="仿宋"/>
                <w:lang w:val="en-US" w:eastAsia="zh-CN"/>
              </w:rPr>
              <w:t>5000</w:t>
            </w:r>
          </w:p>
        </w:tc>
        <w:tc>
          <w:tcPr>
            <w:tcW w:w="1373" w:type="dxa"/>
            <w:vMerge w:val="continue"/>
            <w:tcBorders>
              <w:tl2br w:val="nil"/>
              <w:tr2bl w:val="nil"/>
            </w:tcBorders>
            <w:vAlign w:val="center"/>
          </w:tcPr>
          <w:p>
            <w:pPr>
              <w:pStyle w:val="186"/>
              <w:adjustRightInd/>
              <w:ind w:firstLine="0" w:firstLineChars="0"/>
              <w:rPr>
                <w:rFonts w:hint="eastAsia" w:ascii="仿宋" w:hAnsi="仿宋" w:eastAsia="仿宋" w:cs="仿宋"/>
                <w:color w:val="000000"/>
                <w:sz w:val="21"/>
                <w:lang w:eastAsia="zh-CN"/>
              </w:rPr>
            </w:pPr>
          </w:p>
        </w:tc>
        <w:tc>
          <w:tcPr>
            <w:tcW w:w="1415" w:type="dxa"/>
            <w:vMerge w:val="continue"/>
            <w:tcBorders>
              <w:tl2br w:val="nil"/>
              <w:tr2bl w:val="nil"/>
            </w:tcBorders>
            <w:vAlign w:val="center"/>
          </w:tcPr>
          <w:p>
            <w:pPr>
              <w:pStyle w:val="186"/>
              <w:adjustRightInd/>
              <w:ind w:firstLine="0" w:firstLineChars="0"/>
              <w:rPr>
                <w:rFonts w:hint="eastAsia" w:ascii="仿宋" w:hAnsi="仿宋" w:eastAsia="仿宋" w:cs="仿宋"/>
                <w:color w:val="000000"/>
                <w:sz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ascii="仿宋" w:hAnsi="仿宋" w:eastAsia="仿宋" w:cs="仿宋"/>
                <w:color w:val="000000"/>
                <w:sz w:val="21"/>
              </w:rPr>
            </w:pPr>
            <w:r>
              <w:rPr>
                <w:rFonts w:hint="eastAsia" w:ascii="仿宋" w:hAnsi="仿宋" w:eastAsia="仿宋" w:cs="仿宋"/>
                <w:color w:val="000000"/>
                <w:sz w:val="21"/>
                <w:lang w:val="en-US" w:eastAsia="zh-CN"/>
              </w:rPr>
              <w:t>3</w:t>
            </w:r>
          </w:p>
        </w:tc>
        <w:tc>
          <w:tcPr>
            <w:tcW w:w="1607" w:type="dxa"/>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r>
              <w:rPr>
                <w:rStyle w:val="152"/>
                <w:rFonts w:hint="eastAsia" w:ascii="仿宋" w:hAnsi="仿宋" w:eastAsia="仿宋" w:cs="仿宋"/>
              </w:rPr>
              <w:t>产品</w:t>
            </w:r>
            <w:r>
              <w:rPr>
                <w:rStyle w:val="152"/>
                <w:rFonts w:hint="eastAsia" w:ascii="仿宋" w:hAnsi="仿宋" w:eastAsia="仿宋" w:cs="仿宋"/>
                <w:lang w:eastAsia="zh-CN"/>
              </w:rPr>
              <w:t>罐区</w:t>
            </w:r>
          </w:p>
        </w:tc>
        <w:tc>
          <w:tcPr>
            <w:tcW w:w="1748" w:type="dxa"/>
            <w:tcBorders>
              <w:tl2br w:val="nil"/>
              <w:tr2bl w:val="nil"/>
            </w:tcBorders>
            <w:vAlign w:val="center"/>
          </w:tcPr>
          <w:p>
            <w:pPr>
              <w:pStyle w:val="143"/>
              <w:spacing w:line="300" w:lineRule="auto"/>
              <w:ind w:firstLine="0" w:firstLineChars="0"/>
              <w:jc w:val="both"/>
              <w:rPr>
                <w:rFonts w:ascii="仿宋" w:hAnsi="仿宋" w:eastAsia="仿宋" w:cs="仿宋"/>
              </w:rPr>
            </w:pPr>
            <w:r>
              <w:rPr>
                <w:rStyle w:val="152"/>
                <w:rFonts w:hint="eastAsia" w:ascii="仿宋" w:hAnsi="仿宋" w:eastAsia="仿宋" w:cs="仿宋"/>
              </w:rPr>
              <w:t>各种润滑油</w:t>
            </w:r>
          </w:p>
        </w:tc>
        <w:tc>
          <w:tcPr>
            <w:tcW w:w="2025" w:type="dxa"/>
            <w:tcBorders>
              <w:tl2br w:val="nil"/>
              <w:tr2bl w:val="nil"/>
            </w:tcBorders>
            <w:vAlign w:val="center"/>
          </w:tcPr>
          <w:p>
            <w:pPr>
              <w:pStyle w:val="143"/>
              <w:spacing w:line="300" w:lineRule="auto"/>
              <w:ind w:firstLine="0" w:firstLineChars="0"/>
              <w:rPr>
                <w:rFonts w:ascii="仿宋" w:hAnsi="仿宋" w:eastAsia="仿宋" w:cs="仿宋"/>
              </w:rPr>
            </w:pPr>
            <w:r>
              <w:rPr>
                <w:rStyle w:val="152"/>
                <w:rFonts w:hint="eastAsia" w:ascii="仿宋" w:hAnsi="仿宋" w:eastAsia="仿宋" w:cs="仿宋"/>
                <w:lang w:val="en-US" w:eastAsia="zh-CN"/>
              </w:rPr>
              <w:t>3</w:t>
            </w:r>
            <w:r>
              <w:rPr>
                <w:rStyle w:val="152"/>
                <w:rFonts w:hint="eastAsia" w:ascii="仿宋" w:hAnsi="仿宋" w:eastAsia="仿宋" w:cs="仿宋"/>
              </w:rPr>
              <w:t>000</w:t>
            </w:r>
          </w:p>
        </w:tc>
        <w:tc>
          <w:tcPr>
            <w:tcW w:w="1373" w:type="dxa"/>
            <w:vMerge w:val="continue"/>
            <w:tcBorders>
              <w:tl2br w:val="nil"/>
              <w:tr2bl w:val="nil"/>
            </w:tcBorders>
            <w:vAlign w:val="center"/>
          </w:tcPr>
          <w:p>
            <w:pPr>
              <w:pStyle w:val="186"/>
              <w:adjustRightInd/>
              <w:ind w:firstLine="0" w:firstLineChars="0"/>
              <w:rPr>
                <w:rFonts w:ascii="仿宋" w:hAnsi="仿宋" w:eastAsia="仿宋" w:cs="仿宋"/>
                <w:color w:val="000000"/>
                <w:sz w:val="21"/>
              </w:rPr>
            </w:pPr>
          </w:p>
        </w:tc>
        <w:tc>
          <w:tcPr>
            <w:tcW w:w="1415" w:type="dxa"/>
            <w:vMerge w:val="continue"/>
            <w:tcBorders>
              <w:tl2br w:val="nil"/>
              <w:tr2bl w:val="nil"/>
            </w:tcBorders>
            <w:vAlign w:val="center"/>
          </w:tcPr>
          <w:p>
            <w:pPr>
              <w:pStyle w:val="186"/>
              <w:adjustRightInd/>
              <w:ind w:firstLine="0" w:firstLineChars="0"/>
              <w:rPr>
                <w:rFonts w:ascii="仿宋" w:hAnsi="仿宋" w:eastAsia="仿宋" w:cs="仿宋"/>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ascii="仿宋" w:hAnsi="仿宋" w:eastAsia="仿宋" w:cs="仿宋"/>
                <w:color w:val="000000"/>
                <w:sz w:val="21"/>
              </w:rPr>
            </w:pPr>
            <w:r>
              <w:rPr>
                <w:rFonts w:hint="eastAsia" w:ascii="仿宋" w:hAnsi="仿宋" w:eastAsia="仿宋" w:cs="仿宋"/>
                <w:color w:val="000000"/>
                <w:sz w:val="21"/>
                <w:lang w:val="en-US" w:eastAsia="zh-CN"/>
              </w:rPr>
              <w:t>4</w:t>
            </w:r>
          </w:p>
        </w:tc>
        <w:tc>
          <w:tcPr>
            <w:tcW w:w="1607" w:type="dxa"/>
            <w:vMerge w:val="restart"/>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r>
              <w:rPr>
                <w:rFonts w:hint="eastAsia" w:ascii="仿宋" w:hAnsi="仿宋" w:eastAsia="仿宋" w:cs="仿宋"/>
                <w:color w:val="000000"/>
                <w:sz w:val="21"/>
                <w:lang w:eastAsia="zh-CN"/>
              </w:rPr>
              <w:t>化工材料库</w:t>
            </w:r>
          </w:p>
        </w:tc>
        <w:tc>
          <w:tcPr>
            <w:tcW w:w="1748" w:type="dxa"/>
            <w:tcBorders>
              <w:tl2br w:val="nil"/>
              <w:tr2bl w:val="nil"/>
            </w:tcBorders>
            <w:vAlign w:val="center"/>
          </w:tcPr>
          <w:p>
            <w:pPr>
              <w:keepNext w:val="0"/>
              <w:keepLines w:val="0"/>
              <w:widowControl/>
              <w:suppressLineNumbers w:val="0"/>
              <w:ind w:firstLine="0" w:firstLineChars="0"/>
              <w:jc w:val="left"/>
              <w:textAlignment w:val="center"/>
              <w:rPr>
                <w:rStyle w:val="152"/>
                <w:rFonts w:ascii="仿宋" w:hAnsi="仿宋" w:eastAsia="仿宋" w:cs="仿宋"/>
              </w:rPr>
            </w:pPr>
            <w:r>
              <w:rPr>
                <w:rStyle w:val="152"/>
                <w:rFonts w:ascii="仿宋" w:hAnsi="仿宋" w:eastAsia="仿宋" w:cs="仿宋"/>
                <w:kern w:val="2"/>
                <w:lang w:bidi="ar-SA"/>
              </w:rPr>
              <w:t>氢氧化锂</w:t>
            </w:r>
          </w:p>
        </w:tc>
        <w:tc>
          <w:tcPr>
            <w:tcW w:w="2025" w:type="dxa"/>
            <w:tcBorders>
              <w:tl2br w:val="nil"/>
              <w:tr2bl w:val="nil"/>
            </w:tcBorders>
            <w:vAlign w:val="center"/>
          </w:tcPr>
          <w:p>
            <w:pPr>
              <w:pStyle w:val="143"/>
              <w:spacing w:line="300" w:lineRule="auto"/>
              <w:rPr>
                <w:rFonts w:ascii="仿宋" w:hAnsi="仿宋" w:eastAsia="仿宋" w:cs="仿宋"/>
              </w:rPr>
            </w:pPr>
            <w:r>
              <w:rPr>
                <w:rStyle w:val="152"/>
                <w:rFonts w:hint="eastAsia" w:ascii="仿宋" w:hAnsi="仿宋" w:eastAsia="仿宋" w:cs="仿宋"/>
                <w:lang w:val="en-US" w:eastAsia="zh-CN"/>
              </w:rPr>
              <w:t>2.5</w:t>
            </w:r>
          </w:p>
        </w:tc>
        <w:tc>
          <w:tcPr>
            <w:tcW w:w="1373" w:type="dxa"/>
            <w:tcBorders>
              <w:tl2br w:val="nil"/>
              <w:tr2bl w:val="nil"/>
            </w:tcBorders>
            <w:vAlign w:val="center"/>
          </w:tcPr>
          <w:p>
            <w:pPr>
              <w:pStyle w:val="186"/>
              <w:adjustRightInd/>
              <w:ind w:firstLine="0" w:firstLineChars="0"/>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 xml:space="preserve"> /</w:t>
            </w:r>
          </w:p>
        </w:tc>
        <w:tc>
          <w:tcPr>
            <w:tcW w:w="1415" w:type="dxa"/>
            <w:tcBorders>
              <w:tl2br w:val="nil"/>
              <w:tr2bl w:val="nil"/>
            </w:tcBorders>
            <w:vAlign w:val="center"/>
          </w:tcPr>
          <w:p>
            <w:pPr>
              <w:pStyle w:val="186"/>
              <w:adjustRightInd/>
              <w:ind w:firstLine="0" w:firstLineChars="0"/>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5</w:t>
            </w:r>
          </w:p>
        </w:tc>
        <w:tc>
          <w:tcPr>
            <w:tcW w:w="1607" w:type="dxa"/>
            <w:vMerge w:val="continue"/>
            <w:tcBorders>
              <w:tl2br w:val="nil"/>
              <w:tr2bl w:val="nil"/>
            </w:tcBorders>
            <w:vAlign w:val="center"/>
          </w:tcPr>
          <w:p>
            <w:pPr>
              <w:pStyle w:val="143"/>
              <w:spacing w:line="300" w:lineRule="auto"/>
              <w:rPr>
                <w:rStyle w:val="152"/>
                <w:rFonts w:hint="eastAsia" w:ascii="仿宋" w:hAnsi="仿宋" w:eastAsia="仿宋" w:cs="仿宋"/>
              </w:rPr>
            </w:pPr>
          </w:p>
        </w:tc>
        <w:tc>
          <w:tcPr>
            <w:tcW w:w="1748" w:type="dxa"/>
            <w:tcBorders>
              <w:tl2br w:val="nil"/>
              <w:tr2bl w:val="nil"/>
            </w:tcBorders>
            <w:vAlign w:val="center"/>
          </w:tcPr>
          <w:p>
            <w:pPr>
              <w:keepNext w:val="0"/>
              <w:keepLines w:val="0"/>
              <w:widowControl/>
              <w:suppressLineNumbers w:val="0"/>
              <w:ind w:firstLine="0" w:firstLineChars="0"/>
              <w:jc w:val="left"/>
              <w:textAlignment w:val="center"/>
              <w:rPr>
                <w:rStyle w:val="152"/>
                <w:rFonts w:ascii="仿宋" w:hAnsi="仿宋" w:eastAsia="仿宋" w:cs="仿宋"/>
              </w:rPr>
            </w:pPr>
            <w:r>
              <w:rPr>
                <w:rStyle w:val="152"/>
                <w:rFonts w:ascii="仿宋" w:hAnsi="仿宋" w:eastAsia="仿宋" w:cs="仿宋"/>
                <w:kern w:val="2"/>
                <w:lang w:bidi="ar-SA"/>
              </w:rPr>
              <w:t>氢氧化钠</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1.5</w:t>
            </w:r>
          </w:p>
        </w:tc>
        <w:tc>
          <w:tcPr>
            <w:tcW w:w="1373"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 xml:space="preserve"> /</w:t>
            </w:r>
          </w:p>
        </w:tc>
        <w:tc>
          <w:tcPr>
            <w:tcW w:w="1415" w:type="dxa"/>
            <w:tcBorders>
              <w:tl2br w:val="nil"/>
              <w:tr2bl w:val="nil"/>
            </w:tcBorders>
            <w:vAlign w:val="center"/>
          </w:tcPr>
          <w:p>
            <w:pPr>
              <w:pStyle w:val="186"/>
              <w:adjustRightInd/>
              <w:ind w:firstLine="0" w:firstLineChars="0"/>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1" w:hRule="atLeast"/>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6</w:t>
            </w:r>
          </w:p>
        </w:tc>
        <w:tc>
          <w:tcPr>
            <w:tcW w:w="1607" w:type="dxa"/>
            <w:vMerge w:val="continue"/>
            <w:tcBorders>
              <w:tl2br w:val="nil"/>
              <w:tr2bl w:val="nil"/>
            </w:tcBorders>
            <w:vAlign w:val="center"/>
          </w:tcPr>
          <w:p>
            <w:pPr>
              <w:pStyle w:val="143"/>
              <w:spacing w:line="300" w:lineRule="auto"/>
              <w:rPr>
                <w:rStyle w:val="152"/>
                <w:rFonts w:hint="eastAsia" w:ascii="仿宋" w:hAnsi="仿宋" w:eastAsia="仿宋" w:cs="仿宋"/>
              </w:rPr>
            </w:pPr>
          </w:p>
        </w:tc>
        <w:tc>
          <w:tcPr>
            <w:tcW w:w="1748" w:type="dxa"/>
            <w:tcBorders>
              <w:tl2br w:val="nil"/>
              <w:tr2bl w:val="nil"/>
            </w:tcBorders>
            <w:vAlign w:val="center"/>
          </w:tcPr>
          <w:p>
            <w:pPr>
              <w:pStyle w:val="143"/>
              <w:spacing w:line="300" w:lineRule="auto"/>
              <w:jc w:val="both"/>
              <w:rPr>
                <w:rStyle w:val="152"/>
                <w:rFonts w:hint="eastAsia" w:ascii="仿宋" w:hAnsi="仿宋" w:eastAsia="仿宋" w:cs="仿宋"/>
                <w:lang w:eastAsia="zh-CN"/>
              </w:rPr>
            </w:pPr>
            <w:r>
              <w:rPr>
                <w:rStyle w:val="152"/>
                <w:rFonts w:hint="eastAsia" w:ascii="仿宋" w:hAnsi="仿宋" w:eastAsia="仿宋" w:cs="仿宋"/>
                <w:lang w:eastAsia="zh-CN"/>
              </w:rPr>
              <w:t>异辛醇</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1.0</w:t>
            </w:r>
          </w:p>
        </w:tc>
        <w:tc>
          <w:tcPr>
            <w:tcW w:w="1373"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10</w:t>
            </w:r>
          </w:p>
        </w:tc>
        <w:tc>
          <w:tcPr>
            <w:tcW w:w="1415"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7</w:t>
            </w:r>
          </w:p>
        </w:tc>
        <w:tc>
          <w:tcPr>
            <w:tcW w:w="1607" w:type="dxa"/>
            <w:vMerge w:val="continue"/>
            <w:tcBorders>
              <w:tl2br w:val="nil"/>
              <w:tr2bl w:val="nil"/>
            </w:tcBorders>
            <w:vAlign w:val="center"/>
          </w:tcPr>
          <w:p>
            <w:pPr>
              <w:pStyle w:val="143"/>
              <w:spacing w:line="300" w:lineRule="auto"/>
              <w:rPr>
                <w:rStyle w:val="152"/>
                <w:rFonts w:hint="eastAsia" w:ascii="仿宋" w:hAnsi="仿宋" w:eastAsia="仿宋" w:cs="仿宋"/>
              </w:rPr>
            </w:pPr>
          </w:p>
        </w:tc>
        <w:tc>
          <w:tcPr>
            <w:tcW w:w="1748" w:type="dxa"/>
            <w:tcBorders>
              <w:tl2br w:val="nil"/>
              <w:tr2bl w:val="nil"/>
            </w:tcBorders>
            <w:vAlign w:val="center"/>
          </w:tcPr>
          <w:p>
            <w:pPr>
              <w:pStyle w:val="143"/>
              <w:spacing w:line="300" w:lineRule="auto"/>
              <w:jc w:val="both"/>
              <w:rPr>
                <w:rStyle w:val="152"/>
                <w:rFonts w:hint="eastAsia" w:ascii="仿宋" w:hAnsi="仿宋" w:eastAsia="仿宋" w:cs="仿宋"/>
              </w:rPr>
            </w:pPr>
            <w:r>
              <w:rPr>
                <w:rStyle w:val="152"/>
                <w:rFonts w:ascii="仿宋" w:hAnsi="仿宋" w:eastAsia="仿宋" w:cs="仿宋"/>
              </w:rPr>
              <w:t>十二羟基硬脂酸</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6.0</w:t>
            </w:r>
          </w:p>
        </w:tc>
        <w:tc>
          <w:tcPr>
            <w:tcW w:w="1373" w:type="dxa"/>
            <w:tcBorders>
              <w:tl2br w:val="nil"/>
              <w:tr2bl w:val="nil"/>
            </w:tcBorders>
            <w:vAlign w:val="center"/>
          </w:tcPr>
          <w:p>
            <w:pPr>
              <w:pStyle w:val="186"/>
              <w:adjustRightInd/>
              <w:ind w:firstLine="0" w:firstLineChars="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c>
          <w:tcPr>
            <w:tcW w:w="1415" w:type="dxa"/>
            <w:tcBorders>
              <w:tl2br w:val="nil"/>
              <w:tr2bl w:val="nil"/>
            </w:tcBorders>
            <w:vAlign w:val="center"/>
          </w:tcPr>
          <w:p>
            <w:pPr>
              <w:pStyle w:val="186"/>
              <w:adjustRightInd/>
              <w:ind w:firstLine="0" w:firstLineChars="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8</w:t>
            </w:r>
          </w:p>
        </w:tc>
        <w:tc>
          <w:tcPr>
            <w:tcW w:w="1607" w:type="dxa"/>
            <w:vMerge w:val="continue"/>
            <w:tcBorders>
              <w:tl2br w:val="nil"/>
              <w:tr2bl w:val="nil"/>
            </w:tcBorders>
            <w:vAlign w:val="center"/>
          </w:tcPr>
          <w:p>
            <w:pPr>
              <w:pStyle w:val="143"/>
              <w:spacing w:line="300" w:lineRule="auto"/>
              <w:rPr>
                <w:rStyle w:val="152"/>
                <w:rFonts w:hint="eastAsia" w:ascii="仿宋" w:hAnsi="仿宋" w:eastAsia="仿宋" w:cs="仿宋"/>
              </w:rPr>
            </w:pPr>
          </w:p>
        </w:tc>
        <w:tc>
          <w:tcPr>
            <w:tcW w:w="1748" w:type="dxa"/>
            <w:tcBorders>
              <w:tl2br w:val="nil"/>
              <w:tr2bl w:val="nil"/>
            </w:tcBorders>
            <w:vAlign w:val="center"/>
          </w:tcPr>
          <w:p>
            <w:pPr>
              <w:keepNext w:val="0"/>
              <w:keepLines w:val="0"/>
              <w:widowControl/>
              <w:suppressLineNumbers w:val="0"/>
              <w:ind w:firstLine="0" w:firstLineChars="0"/>
              <w:jc w:val="left"/>
              <w:textAlignment w:val="center"/>
              <w:rPr>
                <w:rStyle w:val="152"/>
                <w:rFonts w:ascii="仿宋" w:hAnsi="仿宋" w:eastAsia="仿宋" w:cs="仿宋"/>
              </w:rPr>
            </w:pPr>
            <w:r>
              <w:rPr>
                <w:rStyle w:val="152"/>
                <w:rFonts w:ascii="仿宋" w:hAnsi="仿宋" w:eastAsia="仿宋" w:cs="仿宋"/>
                <w:kern w:val="2"/>
                <w:lang w:bidi="ar-SA"/>
              </w:rPr>
              <w:t>乙二醇</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0.05</w:t>
            </w:r>
          </w:p>
        </w:tc>
        <w:tc>
          <w:tcPr>
            <w:tcW w:w="1373" w:type="dxa"/>
            <w:tcBorders>
              <w:tl2br w:val="nil"/>
              <w:tr2bl w:val="nil"/>
            </w:tcBorders>
            <w:vAlign w:val="center"/>
          </w:tcPr>
          <w:p>
            <w:pPr>
              <w:adjustRightInd/>
              <w:ind w:firstLine="420" w:firstLineChars="200"/>
              <w:jc w:val="center"/>
              <w:rPr>
                <w:rFonts w:hint="eastAsia" w:ascii="仿宋" w:hAnsi="仿宋" w:eastAsia="仿宋" w:cs="仿宋"/>
                <w:color w:val="000000"/>
                <w:sz w:val="21"/>
                <w:lang w:eastAsia="zh-CN"/>
              </w:rPr>
            </w:pPr>
            <w:r>
              <w:rPr>
                <w:rFonts w:hint="eastAsia" w:ascii="仿宋" w:hAnsi="仿宋" w:eastAsia="仿宋" w:cs="仿宋"/>
                <w:color w:val="000000"/>
                <w:sz w:val="21"/>
                <w:lang w:val="en-US" w:eastAsia="zh-CN"/>
              </w:rPr>
              <w:t>/</w:t>
            </w:r>
          </w:p>
        </w:tc>
        <w:tc>
          <w:tcPr>
            <w:tcW w:w="1415"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9</w:t>
            </w:r>
          </w:p>
        </w:tc>
        <w:tc>
          <w:tcPr>
            <w:tcW w:w="1607" w:type="dxa"/>
            <w:vMerge w:val="continue"/>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p>
        </w:tc>
        <w:tc>
          <w:tcPr>
            <w:tcW w:w="1748" w:type="dxa"/>
            <w:tcBorders>
              <w:tl2br w:val="nil"/>
              <w:tr2bl w:val="nil"/>
            </w:tcBorders>
            <w:vAlign w:val="center"/>
          </w:tcPr>
          <w:p>
            <w:pPr>
              <w:keepNext w:val="0"/>
              <w:keepLines w:val="0"/>
              <w:widowControl/>
              <w:suppressLineNumbers w:val="0"/>
              <w:ind w:firstLine="0" w:firstLineChars="0"/>
              <w:jc w:val="left"/>
              <w:textAlignment w:val="center"/>
              <w:rPr>
                <w:rStyle w:val="152"/>
                <w:rFonts w:ascii="仿宋" w:hAnsi="仿宋" w:eastAsia="仿宋" w:cs="仿宋"/>
              </w:rPr>
            </w:pPr>
            <w:r>
              <w:rPr>
                <w:rStyle w:val="152"/>
                <w:rFonts w:ascii="仿宋" w:hAnsi="仿宋" w:eastAsia="仿宋" w:cs="仿宋"/>
                <w:kern w:val="2"/>
                <w:lang w:bidi="ar-SA"/>
              </w:rPr>
              <w:t>甘油</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1.2</w:t>
            </w:r>
          </w:p>
        </w:tc>
        <w:tc>
          <w:tcPr>
            <w:tcW w:w="1373" w:type="dxa"/>
            <w:tcBorders>
              <w:tl2br w:val="nil"/>
              <w:tr2bl w:val="nil"/>
            </w:tcBorders>
            <w:vAlign w:val="center"/>
          </w:tcPr>
          <w:p>
            <w:pPr>
              <w:adjustRightInd/>
              <w:ind w:firstLine="420" w:firstLineChars="200"/>
              <w:jc w:val="center"/>
              <w:rPr>
                <w:rFonts w:hint="eastAsia" w:ascii="仿宋" w:hAnsi="仿宋" w:eastAsia="仿宋" w:cs="仿宋"/>
                <w:color w:val="000000"/>
                <w:sz w:val="21"/>
              </w:rPr>
            </w:pPr>
            <w:r>
              <w:rPr>
                <w:rFonts w:hint="eastAsia" w:ascii="仿宋" w:hAnsi="仿宋" w:eastAsia="仿宋" w:cs="仿宋"/>
                <w:color w:val="000000"/>
                <w:sz w:val="21"/>
                <w:lang w:val="en-US" w:eastAsia="zh-CN"/>
              </w:rPr>
              <w:t>/</w:t>
            </w:r>
          </w:p>
        </w:tc>
        <w:tc>
          <w:tcPr>
            <w:tcW w:w="1415"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10</w:t>
            </w:r>
          </w:p>
        </w:tc>
        <w:tc>
          <w:tcPr>
            <w:tcW w:w="1607" w:type="dxa"/>
            <w:vMerge w:val="continue"/>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p>
        </w:tc>
        <w:tc>
          <w:tcPr>
            <w:tcW w:w="1748" w:type="dxa"/>
            <w:tcBorders>
              <w:tl2br w:val="nil"/>
              <w:tr2bl w:val="nil"/>
            </w:tcBorders>
            <w:vAlign w:val="center"/>
          </w:tcPr>
          <w:p>
            <w:pPr>
              <w:keepNext w:val="0"/>
              <w:keepLines w:val="0"/>
              <w:widowControl/>
              <w:suppressLineNumbers w:val="0"/>
              <w:ind w:firstLine="0" w:firstLineChars="0"/>
              <w:jc w:val="left"/>
              <w:textAlignment w:val="center"/>
              <w:rPr>
                <w:rStyle w:val="152"/>
                <w:rFonts w:ascii="仿宋" w:hAnsi="仿宋" w:eastAsia="仿宋" w:cs="仿宋"/>
              </w:rPr>
            </w:pPr>
            <w:r>
              <w:rPr>
                <w:rStyle w:val="152"/>
                <w:rFonts w:ascii="仿宋" w:hAnsi="仿宋" w:eastAsia="仿宋" w:cs="仿宋"/>
                <w:kern w:val="2"/>
                <w:lang w:bidi="ar-SA"/>
              </w:rPr>
              <w:t>精己二酸</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1.0</w:t>
            </w:r>
          </w:p>
        </w:tc>
        <w:tc>
          <w:tcPr>
            <w:tcW w:w="1373" w:type="dxa"/>
            <w:tcBorders>
              <w:tl2br w:val="nil"/>
              <w:tr2bl w:val="nil"/>
            </w:tcBorders>
            <w:vAlign w:val="center"/>
          </w:tcPr>
          <w:p>
            <w:pPr>
              <w:adjustRightInd/>
              <w:ind w:firstLine="420" w:firstLineChars="200"/>
              <w:jc w:val="center"/>
              <w:rPr>
                <w:rFonts w:hint="eastAsia" w:ascii="仿宋" w:hAnsi="仿宋" w:eastAsia="仿宋" w:cs="仿宋"/>
                <w:color w:val="000000"/>
                <w:sz w:val="21"/>
                <w:lang w:eastAsia="zh-CN"/>
              </w:rPr>
            </w:pPr>
            <w:r>
              <w:rPr>
                <w:rFonts w:hint="eastAsia" w:ascii="仿宋" w:hAnsi="仿宋" w:eastAsia="仿宋" w:cs="仿宋"/>
                <w:color w:val="000000"/>
                <w:sz w:val="21"/>
                <w:lang w:val="en-US" w:eastAsia="zh-CN"/>
              </w:rPr>
              <w:t>/</w:t>
            </w:r>
          </w:p>
        </w:tc>
        <w:tc>
          <w:tcPr>
            <w:tcW w:w="1415"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11</w:t>
            </w:r>
          </w:p>
        </w:tc>
        <w:tc>
          <w:tcPr>
            <w:tcW w:w="1607" w:type="dxa"/>
            <w:vMerge w:val="continue"/>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p>
        </w:tc>
        <w:tc>
          <w:tcPr>
            <w:tcW w:w="1748" w:type="dxa"/>
            <w:tcBorders>
              <w:tl2br w:val="nil"/>
              <w:tr2bl w:val="nil"/>
            </w:tcBorders>
            <w:vAlign w:val="center"/>
          </w:tcPr>
          <w:p>
            <w:pPr>
              <w:keepNext w:val="0"/>
              <w:keepLines w:val="0"/>
              <w:widowControl/>
              <w:suppressLineNumbers w:val="0"/>
              <w:ind w:firstLine="0" w:firstLineChars="0"/>
              <w:jc w:val="left"/>
              <w:textAlignment w:val="center"/>
              <w:rPr>
                <w:rStyle w:val="152"/>
                <w:rFonts w:ascii="仿宋" w:hAnsi="仿宋" w:eastAsia="仿宋" w:cs="仿宋"/>
              </w:rPr>
            </w:pPr>
            <w:r>
              <w:rPr>
                <w:rStyle w:val="152"/>
                <w:rFonts w:ascii="仿宋" w:hAnsi="仿宋" w:eastAsia="仿宋" w:cs="仿宋"/>
                <w:kern w:val="2"/>
                <w:lang w:bidi="ar-SA"/>
              </w:rPr>
              <w:t>1,4丁二醇</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1.0</w:t>
            </w:r>
          </w:p>
        </w:tc>
        <w:tc>
          <w:tcPr>
            <w:tcW w:w="1373" w:type="dxa"/>
            <w:tcBorders>
              <w:tl2br w:val="nil"/>
              <w:tr2bl w:val="nil"/>
            </w:tcBorders>
            <w:vAlign w:val="center"/>
          </w:tcPr>
          <w:p>
            <w:pPr>
              <w:adjustRightInd/>
              <w:ind w:firstLine="420" w:firstLineChars="200"/>
              <w:jc w:val="center"/>
              <w:rPr>
                <w:rFonts w:hint="eastAsia" w:ascii="仿宋" w:hAnsi="仿宋" w:eastAsia="仿宋" w:cs="仿宋"/>
                <w:color w:val="000000"/>
                <w:sz w:val="21"/>
              </w:rPr>
            </w:pPr>
            <w:r>
              <w:rPr>
                <w:rFonts w:hint="eastAsia" w:ascii="仿宋" w:hAnsi="仿宋" w:eastAsia="仿宋" w:cs="仿宋"/>
                <w:color w:val="000000"/>
                <w:sz w:val="21"/>
                <w:lang w:val="en-US" w:eastAsia="zh-CN"/>
              </w:rPr>
              <w:t>/</w:t>
            </w:r>
          </w:p>
        </w:tc>
        <w:tc>
          <w:tcPr>
            <w:tcW w:w="1415"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12</w:t>
            </w:r>
          </w:p>
        </w:tc>
        <w:tc>
          <w:tcPr>
            <w:tcW w:w="1607" w:type="dxa"/>
            <w:vMerge w:val="continue"/>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p>
        </w:tc>
        <w:tc>
          <w:tcPr>
            <w:tcW w:w="1748" w:type="dxa"/>
            <w:tcBorders>
              <w:tl2br w:val="nil"/>
              <w:tr2bl w:val="nil"/>
            </w:tcBorders>
            <w:vAlign w:val="center"/>
          </w:tcPr>
          <w:p>
            <w:pPr>
              <w:keepNext w:val="0"/>
              <w:keepLines w:val="0"/>
              <w:widowControl/>
              <w:suppressLineNumbers w:val="0"/>
              <w:ind w:firstLine="0" w:firstLineChars="0"/>
              <w:jc w:val="left"/>
              <w:textAlignment w:val="center"/>
              <w:rPr>
                <w:rStyle w:val="152"/>
                <w:rFonts w:ascii="仿宋" w:hAnsi="仿宋" w:eastAsia="仿宋" w:cs="仿宋"/>
              </w:rPr>
            </w:pPr>
            <w:r>
              <w:rPr>
                <w:rStyle w:val="152"/>
                <w:rFonts w:ascii="仿宋" w:hAnsi="仿宋" w:eastAsia="仿宋" w:cs="仿宋"/>
                <w:kern w:val="2"/>
                <w:lang w:bidi="ar-SA"/>
              </w:rPr>
              <w:t>三羟甲基丙烷</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3.0</w:t>
            </w:r>
          </w:p>
        </w:tc>
        <w:tc>
          <w:tcPr>
            <w:tcW w:w="1373" w:type="dxa"/>
            <w:tcBorders>
              <w:tl2br w:val="nil"/>
              <w:tr2bl w:val="nil"/>
            </w:tcBorders>
            <w:vAlign w:val="center"/>
          </w:tcPr>
          <w:p>
            <w:pPr>
              <w:adjustRightInd/>
              <w:ind w:firstLine="420" w:firstLineChars="200"/>
              <w:jc w:val="center"/>
              <w:rPr>
                <w:rFonts w:hint="eastAsia" w:ascii="仿宋" w:hAnsi="仿宋" w:eastAsia="仿宋" w:cs="仿宋"/>
                <w:color w:val="000000"/>
                <w:sz w:val="21"/>
              </w:rPr>
            </w:pPr>
            <w:r>
              <w:rPr>
                <w:rFonts w:hint="eastAsia" w:ascii="仿宋" w:hAnsi="仿宋" w:eastAsia="仿宋" w:cs="仿宋"/>
                <w:color w:val="000000"/>
                <w:sz w:val="21"/>
                <w:lang w:val="en-US" w:eastAsia="zh-CN"/>
              </w:rPr>
              <w:t>/</w:t>
            </w:r>
          </w:p>
        </w:tc>
        <w:tc>
          <w:tcPr>
            <w:tcW w:w="1415"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13</w:t>
            </w:r>
          </w:p>
        </w:tc>
        <w:tc>
          <w:tcPr>
            <w:tcW w:w="1607" w:type="dxa"/>
            <w:vMerge w:val="continue"/>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p>
        </w:tc>
        <w:tc>
          <w:tcPr>
            <w:tcW w:w="1748" w:type="dxa"/>
            <w:tcBorders>
              <w:tl2br w:val="nil"/>
              <w:tr2bl w:val="nil"/>
            </w:tcBorders>
            <w:vAlign w:val="center"/>
          </w:tcPr>
          <w:p>
            <w:pPr>
              <w:keepNext w:val="0"/>
              <w:keepLines w:val="0"/>
              <w:widowControl/>
              <w:suppressLineNumbers w:val="0"/>
              <w:ind w:firstLine="0" w:firstLineChars="0"/>
              <w:jc w:val="left"/>
              <w:textAlignment w:val="center"/>
              <w:rPr>
                <w:rStyle w:val="152"/>
                <w:rFonts w:hint="eastAsia" w:ascii="仿宋" w:hAnsi="仿宋" w:eastAsia="仿宋" w:cs="仿宋"/>
                <w:kern w:val="2"/>
                <w:lang w:val="en-US" w:eastAsia="zh-CN" w:bidi="ar-SA"/>
              </w:rPr>
            </w:pPr>
            <w:r>
              <w:rPr>
                <w:rStyle w:val="152"/>
                <w:rFonts w:hint="eastAsia" w:ascii="仿宋" w:hAnsi="仿宋" w:eastAsia="仿宋" w:cs="仿宋"/>
                <w:kern w:val="2"/>
                <w:lang w:val="en-US" w:eastAsia="zh-CN" w:bidi="ar-SA"/>
              </w:rPr>
              <w:t>聚氧乙烯醚</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25</w:t>
            </w:r>
          </w:p>
        </w:tc>
        <w:tc>
          <w:tcPr>
            <w:tcW w:w="1373" w:type="dxa"/>
            <w:tcBorders>
              <w:tl2br w:val="nil"/>
              <w:tr2bl w:val="nil"/>
            </w:tcBorders>
            <w:vAlign w:val="center"/>
          </w:tcPr>
          <w:p>
            <w:pPr>
              <w:adjustRightInd/>
              <w:ind w:firstLine="420" w:firstLineChars="200"/>
              <w:jc w:val="center"/>
              <w:rPr>
                <w:rFonts w:hint="eastAsia" w:ascii="仿宋" w:hAnsi="仿宋" w:eastAsia="仿宋" w:cs="仿宋"/>
                <w:color w:val="000000"/>
                <w:sz w:val="21"/>
              </w:rPr>
            </w:pPr>
            <w:r>
              <w:rPr>
                <w:rFonts w:hint="eastAsia" w:ascii="仿宋" w:hAnsi="仿宋" w:eastAsia="仿宋" w:cs="仿宋"/>
                <w:color w:val="000000"/>
                <w:sz w:val="21"/>
                <w:lang w:val="en-US" w:eastAsia="zh-CN"/>
              </w:rPr>
              <w:t>/</w:t>
            </w:r>
          </w:p>
        </w:tc>
        <w:tc>
          <w:tcPr>
            <w:tcW w:w="1415"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14</w:t>
            </w:r>
          </w:p>
        </w:tc>
        <w:tc>
          <w:tcPr>
            <w:tcW w:w="1607" w:type="dxa"/>
            <w:vMerge w:val="continue"/>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p>
        </w:tc>
        <w:tc>
          <w:tcPr>
            <w:tcW w:w="1748" w:type="dxa"/>
            <w:tcBorders>
              <w:tl2br w:val="nil"/>
              <w:tr2bl w:val="nil"/>
            </w:tcBorders>
            <w:vAlign w:val="center"/>
          </w:tcPr>
          <w:p>
            <w:pPr>
              <w:keepNext w:val="0"/>
              <w:keepLines w:val="0"/>
              <w:widowControl/>
              <w:suppressLineNumbers w:val="0"/>
              <w:ind w:firstLine="0" w:firstLineChars="0"/>
              <w:jc w:val="left"/>
              <w:textAlignment w:val="center"/>
              <w:rPr>
                <w:rStyle w:val="152"/>
                <w:rFonts w:hint="eastAsia" w:ascii="仿宋" w:hAnsi="仿宋" w:eastAsia="仿宋" w:cs="仿宋"/>
                <w:kern w:val="2"/>
                <w:lang w:bidi="ar-SA"/>
              </w:rPr>
            </w:pPr>
            <w:r>
              <w:rPr>
                <w:rStyle w:val="152"/>
                <w:rFonts w:hint="eastAsia" w:ascii="仿宋" w:hAnsi="仿宋" w:eastAsia="仿宋" w:cs="仿宋"/>
                <w:kern w:val="2"/>
                <w:lang w:eastAsia="zh-CN" w:bidi="ar-SA"/>
              </w:rPr>
              <w:t>白土</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11</w:t>
            </w:r>
          </w:p>
        </w:tc>
        <w:tc>
          <w:tcPr>
            <w:tcW w:w="1373" w:type="dxa"/>
            <w:tcBorders>
              <w:tl2br w:val="nil"/>
              <w:tr2bl w:val="nil"/>
            </w:tcBorders>
            <w:vAlign w:val="center"/>
          </w:tcPr>
          <w:p>
            <w:pPr>
              <w:adjustRightInd/>
              <w:ind w:firstLine="420" w:firstLineChars="200"/>
              <w:jc w:val="center"/>
              <w:rPr>
                <w:rFonts w:hint="eastAsia" w:ascii="仿宋" w:hAnsi="仿宋" w:eastAsia="仿宋" w:cs="仿宋"/>
                <w:color w:val="000000"/>
                <w:sz w:val="21"/>
              </w:rPr>
            </w:pPr>
            <w:r>
              <w:rPr>
                <w:rFonts w:hint="eastAsia" w:ascii="仿宋" w:hAnsi="仿宋" w:eastAsia="仿宋" w:cs="仿宋"/>
                <w:color w:val="000000"/>
                <w:sz w:val="21"/>
                <w:lang w:val="en-US" w:eastAsia="zh-CN"/>
              </w:rPr>
              <w:t>/</w:t>
            </w:r>
          </w:p>
        </w:tc>
        <w:tc>
          <w:tcPr>
            <w:tcW w:w="1415"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15</w:t>
            </w:r>
          </w:p>
        </w:tc>
        <w:tc>
          <w:tcPr>
            <w:tcW w:w="1607" w:type="dxa"/>
            <w:vMerge w:val="continue"/>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p>
        </w:tc>
        <w:tc>
          <w:tcPr>
            <w:tcW w:w="1748" w:type="dxa"/>
            <w:tcBorders>
              <w:tl2br w:val="nil"/>
              <w:tr2bl w:val="nil"/>
            </w:tcBorders>
            <w:vAlign w:val="center"/>
          </w:tcPr>
          <w:p>
            <w:pPr>
              <w:keepNext w:val="0"/>
              <w:keepLines w:val="0"/>
              <w:widowControl/>
              <w:suppressLineNumbers w:val="0"/>
              <w:ind w:firstLine="0" w:firstLineChars="0"/>
              <w:jc w:val="left"/>
              <w:textAlignment w:val="center"/>
              <w:rPr>
                <w:rStyle w:val="152"/>
                <w:rFonts w:hint="eastAsia" w:ascii="仿宋" w:hAnsi="仿宋" w:eastAsia="仿宋" w:cs="仿宋"/>
                <w:kern w:val="2"/>
                <w:lang w:eastAsia="zh-CN" w:bidi="ar-SA"/>
              </w:rPr>
            </w:pPr>
            <w:r>
              <w:rPr>
                <w:rStyle w:val="152"/>
                <w:rFonts w:hint="eastAsia" w:ascii="仿宋" w:hAnsi="仿宋" w:eastAsia="仿宋" w:cs="仿宋"/>
                <w:kern w:val="2"/>
                <w:lang w:eastAsia="zh-CN" w:bidi="ar-SA"/>
              </w:rPr>
              <w:t>天然气</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w:t>
            </w:r>
          </w:p>
        </w:tc>
        <w:tc>
          <w:tcPr>
            <w:tcW w:w="1373" w:type="dxa"/>
            <w:tcBorders>
              <w:tl2br w:val="nil"/>
              <w:tr2bl w:val="nil"/>
            </w:tcBorders>
            <w:vAlign w:val="center"/>
          </w:tcPr>
          <w:p>
            <w:pPr>
              <w:adjustRightInd/>
              <w:ind w:firstLine="420" w:firstLineChars="200"/>
              <w:jc w:val="center"/>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c>
          <w:tcPr>
            <w:tcW w:w="1415"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16</w:t>
            </w:r>
          </w:p>
        </w:tc>
        <w:tc>
          <w:tcPr>
            <w:tcW w:w="1607" w:type="dxa"/>
            <w:vMerge w:val="continue"/>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p>
        </w:tc>
        <w:tc>
          <w:tcPr>
            <w:tcW w:w="1748" w:type="dxa"/>
            <w:tcBorders>
              <w:tl2br w:val="nil"/>
              <w:tr2bl w:val="nil"/>
            </w:tcBorders>
            <w:vAlign w:val="center"/>
          </w:tcPr>
          <w:p>
            <w:pPr>
              <w:pStyle w:val="143"/>
              <w:spacing w:line="300" w:lineRule="auto"/>
              <w:ind w:firstLine="0" w:firstLineChars="0"/>
              <w:jc w:val="both"/>
              <w:rPr>
                <w:rStyle w:val="152"/>
                <w:rFonts w:hint="eastAsia" w:ascii="仿宋" w:hAnsi="仿宋" w:eastAsia="仿宋" w:cs="仿宋"/>
                <w:lang w:eastAsia="zh-CN"/>
              </w:rPr>
            </w:pPr>
            <w:r>
              <w:rPr>
                <w:rStyle w:val="152"/>
                <w:rFonts w:hint="eastAsia" w:ascii="仿宋" w:hAnsi="仿宋" w:eastAsia="仿宋" w:cs="仿宋"/>
                <w:lang w:eastAsia="zh-CN"/>
              </w:rPr>
              <w:t>SBS改性剂</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1.0</w:t>
            </w:r>
          </w:p>
        </w:tc>
        <w:tc>
          <w:tcPr>
            <w:tcW w:w="1373"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c>
          <w:tcPr>
            <w:tcW w:w="1415"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17</w:t>
            </w:r>
          </w:p>
        </w:tc>
        <w:tc>
          <w:tcPr>
            <w:tcW w:w="1607" w:type="dxa"/>
            <w:vMerge w:val="continue"/>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p>
        </w:tc>
        <w:tc>
          <w:tcPr>
            <w:tcW w:w="1748" w:type="dxa"/>
            <w:tcBorders>
              <w:tl2br w:val="nil"/>
              <w:tr2bl w:val="nil"/>
            </w:tcBorders>
            <w:vAlign w:val="center"/>
          </w:tcPr>
          <w:p>
            <w:pPr>
              <w:pStyle w:val="143"/>
              <w:spacing w:line="300" w:lineRule="auto"/>
              <w:ind w:firstLine="0" w:firstLineChars="0"/>
              <w:jc w:val="both"/>
              <w:rPr>
                <w:rStyle w:val="152"/>
                <w:rFonts w:hint="eastAsia" w:ascii="仿宋" w:hAnsi="仿宋" w:eastAsia="仿宋" w:cs="仿宋"/>
                <w:lang w:eastAsia="zh-CN"/>
              </w:rPr>
            </w:pPr>
            <w:r>
              <w:rPr>
                <w:rStyle w:val="152"/>
                <w:rFonts w:hint="eastAsia" w:ascii="仿宋" w:hAnsi="仿宋" w:eastAsia="仿宋" w:cs="仿宋"/>
                <w:lang w:eastAsia="zh-CN"/>
              </w:rPr>
              <w:t>废橡胶粉</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1.0</w:t>
            </w:r>
          </w:p>
        </w:tc>
        <w:tc>
          <w:tcPr>
            <w:tcW w:w="1373"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c>
          <w:tcPr>
            <w:tcW w:w="1415"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18</w:t>
            </w:r>
          </w:p>
        </w:tc>
        <w:tc>
          <w:tcPr>
            <w:tcW w:w="1607" w:type="dxa"/>
            <w:tcBorders>
              <w:tl2br w:val="nil"/>
              <w:tr2bl w:val="nil"/>
            </w:tcBorders>
            <w:vAlign w:val="center"/>
          </w:tcPr>
          <w:p>
            <w:pPr>
              <w:pStyle w:val="143"/>
              <w:spacing w:line="300" w:lineRule="auto"/>
              <w:ind w:firstLine="0" w:firstLineChars="0"/>
              <w:rPr>
                <w:rStyle w:val="152"/>
                <w:rFonts w:hint="default" w:ascii="仿宋" w:hAnsi="仿宋" w:eastAsia="仿宋" w:cs="仿宋"/>
                <w:lang w:val="en-US" w:eastAsia="zh-CN"/>
              </w:rPr>
            </w:pPr>
            <w:r>
              <w:rPr>
                <w:rStyle w:val="152"/>
                <w:rFonts w:hint="eastAsia" w:ascii="仿宋" w:hAnsi="仿宋" w:eastAsia="仿宋" w:cs="仿宋"/>
                <w:lang w:val="en-US" w:eastAsia="zh-CN"/>
              </w:rPr>
              <w:t>废油再生装置</w:t>
            </w:r>
          </w:p>
        </w:tc>
        <w:tc>
          <w:tcPr>
            <w:tcW w:w="1748" w:type="dxa"/>
            <w:tcBorders>
              <w:tl2br w:val="nil"/>
              <w:tr2bl w:val="nil"/>
            </w:tcBorders>
            <w:vAlign w:val="center"/>
          </w:tcPr>
          <w:p>
            <w:pPr>
              <w:pStyle w:val="143"/>
              <w:spacing w:line="300" w:lineRule="auto"/>
              <w:ind w:firstLine="0" w:firstLineChars="0"/>
              <w:jc w:val="both"/>
              <w:rPr>
                <w:rStyle w:val="152"/>
                <w:rFonts w:hint="eastAsia" w:ascii="仿宋" w:hAnsi="仿宋" w:eastAsia="仿宋" w:cs="仿宋"/>
                <w:lang w:eastAsia="zh-CN"/>
              </w:rPr>
            </w:pPr>
            <w:r>
              <w:rPr>
                <w:rStyle w:val="152"/>
                <w:rFonts w:hint="eastAsia" w:ascii="仿宋" w:hAnsi="仿宋" w:eastAsia="仿宋" w:cs="仿宋"/>
                <w:lang w:eastAsia="zh-CN"/>
              </w:rPr>
              <w:t>废润滑油</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5</w:t>
            </w:r>
          </w:p>
        </w:tc>
        <w:tc>
          <w:tcPr>
            <w:tcW w:w="1373"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c>
          <w:tcPr>
            <w:tcW w:w="1415"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19</w:t>
            </w:r>
          </w:p>
        </w:tc>
        <w:tc>
          <w:tcPr>
            <w:tcW w:w="1607" w:type="dxa"/>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r>
              <w:rPr>
                <w:rStyle w:val="152"/>
                <w:rFonts w:hint="eastAsia" w:ascii="仿宋" w:hAnsi="仿宋" w:eastAsia="仿宋" w:cs="仿宋"/>
                <w:lang w:eastAsia="zh-CN"/>
              </w:rPr>
              <w:t>调油车间</w:t>
            </w:r>
          </w:p>
        </w:tc>
        <w:tc>
          <w:tcPr>
            <w:tcW w:w="1748" w:type="dxa"/>
            <w:tcBorders>
              <w:tl2br w:val="nil"/>
              <w:tr2bl w:val="nil"/>
            </w:tcBorders>
            <w:vAlign w:val="center"/>
          </w:tcPr>
          <w:p>
            <w:pPr>
              <w:pStyle w:val="143"/>
              <w:spacing w:line="300" w:lineRule="auto"/>
              <w:ind w:firstLine="0" w:firstLineChars="0"/>
              <w:jc w:val="both"/>
              <w:rPr>
                <w:rStyle w:val="152"/>
                <w:rFonts w:hint="eastAsia" w:ascii="仿宋" w:hAnsi="仿宋" w:eastAsia="仿宋" w:cs="仿宋"/>
                <w:lang w:eastAsia="zh-CN"/>
              </w:rPr>
            </w:pPr>
            <w:r>
              <w:rPr>
                <w:rStyle w:val="152"/>
                <w:rFonts w:hint="eastAsia" w:ascii="仿宋" w:hAnsi="仿宋" w:eastAsia="仿宋" w:cs="仿宋"/>
                <w:lang w:eastAsia="zh-CN"/>
              </w:rPr>
              <w:t>润滑油</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50</w:t>
            </w:r>
          </w:p>
        </w:tc>
        <w:tc>
          <w:tcPr>
            <w:tcW w:w="1373"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c>
          <w:tcPr>
            <w:tcW w:w="1415"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20</w:t>
            </w:r>
          </w:p>
        </w:tc>
        <w:tc>
          <w:tcPr>
            <w:tcW w:w="1607" w:type="dxa"/>
            <w:vMerge w:val="restart"/>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r>
              <w:rPr>
                <w:rStyle w:val="152"/>
                <w:rFonts w:hint="eastAsia" w:ascii="仿宋" w:hAnsi="仿宋" w:eastAsia="仿宋" w:cs="仿宋"/>
                <w:lang w:eastAsia="zh-CN"/>
              </w:rPr>
              <w:t>防水卷材车间</w:t>
            </w:r>
          </w:p>
        </w:tc>
        <w:tc>
          <w:tcPr>
            <w:tcW w:w="1748" w:type="dxa"/>
            <w:tcBorders>
              <w:tl2br w:val="nil"/>
              <w:tr2bl w:val="nil"/>
            </w:tcBorders>
            <w:vAlign w:val="center"/>
          </w:tcPr>
          <w:p>
            <w:pPr>
              <w:pStyle w:val="143"/>
              <w:spacing w:line="300" w:lineRule="auto"/>
              <w:ind w:firstLine="0" w:firstLineChars="0"/>
              <w:jc w:val="both"/>
              <w:rPr>
                <w:rStyle w:val="152"/>
                <w:rFonts w:hint="eastAsia" w:ascii="仿宋" w:hAnsi="仿宋" w:eastAsia="仿宋" w:cs="仿宋"/>
                <w:lang w:eastAsia="zh-CN"/>
              </w:rPr>
            </w:pPr>
            <w:r>
              <w:rPr>
                <w:rStyle w:val="152"/>
                <w:rFonts w:hint="eastAsia" w:ascii="仿宋" w:hAnsi="仿宋" w:eastAsia="仿宋" w:cs="仿宋"/>
                <w:lang w:eastAsia="zh-CN"/>
              </w:rPr>
              <w:t>白土</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20</w:t>
            </w:r>
          </w:p>
        </w:tc>
        <w:tc>
          <w:tcPr>
            <w:tcW w:w="1373"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c>
          <w:tcPr>
            <w:tcW w:w="1415"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21</w:t>
            </w:r>
          </w:p>
        </w:tc>
        <w:tc>
          <w:tcPr>
            <w:tcW w:w="1607" w:type="dxa"/>
            <w:vMerge w:val="continue"/>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p>
        </w:tc>
        <w:tc>
          <w:tcPr>
            <w:tcW w:w="1748" w:type="dxa"/>
            <w:tcBorders>
              <w:tl2br w:val="nil"/>
              <w:tr2bl w:val="nil"/>
            </w:tcBorders>
            <w:vAlign w:val="center"/>
          </w:tcPr>
          <w:p>
            <w:pPr>
              <w:pStyle w:val="143"/>
              <w:spacing w:line="300" w:lineRule="auto"/>
              <w:ind w:firstLine="0" w:firstLineChars="0"/>
              <w:jc w:val="both"/>
              <w:rPr>
                <w:rStyle w:val="152"/>
                <w:rFonts w:hint="eastAsia" w:ascii="仿宋" w:hAnsi="仿宋" w:eastAsia="仿宋" w:cs="仿宋"/>
                <w:lang w:eastAsia="zh-CN"/>
              </w:rPr>
            </w:pPr>
            <w:r>
              <w:rPr>
                <w:rStyle w:val="152"/>
                <w:rFonts w:hint="eastAsia" w:ascii="仿宋" w:hAnsi="仿宋" w:eastAsia="仿宋" w:cs="仿宋"/>
                <w:lang w:eastAsia="zh-CN"/>
              </w:rPr>
              <w:t>废橡胶粉</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1</w:t>
            </w:r>
          </w:p>
        </w:tc>
        <w:tc>
          <w:tcPr>
            <w:tcW w:w="1373"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c>
          <w:tcPr>
            <w:tcW w:w="1415"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22</w:t>
            </w:r>
          </w:p>
        </w:tc>
        <w:tc>
          <w:tcPr>
            <w:tcW w:w="1607" w:type="dxa"/>
            <w:vMerge w:val="continue"/>
            <w:tcBorders>
              <w:tl2br w:val="nil"/>
              <w:tr2bl w:val="nil"/>
            </w:tcBorders>
            <w:vAlign w:val="center"/>
          </w:tcPr>
          <w:p>
            <w:pPr>
              <w:pStyle w:val="143"/>
              <w:spacing w:line="300" w:lineRule="auto"/>
              <w:ind w:firstLine="0" w:firstLineChars="0"/>
              <w:rPr>
                <w:rStyle w:val="152"/>
                <w:rFonts w:hint="eastAsia" w:ascii="仿宋" w:hAnsi="仿宋" w:eastAsia="仿宋" w:cs="仿宋"/>
                <w:lang w:eastAsia="zh-CN"/>
              </w:rPr>
            </w:pPr>
          </w:p>
        </w:tc>
        <w:tc>
          <w:tcPr>
            <w:tcW w:w="1748" w:type="dxa"/>
            <w:tcBorders>
              <w:tl2br w:val="nil"/>
              <w:tr2bl w:val="nil"/>
            </w:tcBorders>
            <w:vAlign w:val="center"/>
          </w:tcPr>
          <w:p>
            <w:pPr>
              <w:pStyle w:val="143"/>
              <w:spacing w:line="300" w:lineRule="auto"/>
              <w:ind w:firstLine="0" w:firstLineChars="0"/>
              <w:jc w:val="both"/>
              <w:rPr>
                <w:rStyle w:val="152"/>
                <w:rFonts w:hint="default" w:ascii="仿宋" w:hAnsi="仿宋" w:eastAsia="仿宋" w:cs="仿宋"/>
                <w:lang w:val="en-US" w:eastAsia="zh-CN"/>
              </w:rPr>
            </w:pPr>
            <w:r>
              <w:rPr>
                <w:rStyle w:val="152"/>
                <w:rFonts w:hint="eastAsia" w:ascii="仿宋" w:hAnsi="仿宋" w:eastAsia="仿宋" w:cs="仿宋"/>
                <w:lang w:val="en-US" w:eastAsia="zh-CN"/>
              </w:rPr>
              <w:t>SBS改性剂</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1</w:t>
            </w:r>
          </w:p>
        </w:tc>
        <w:tc>
          <w:tcPr>
            <w:tcW w:w="1373"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c>
          <w:tcPr>
            <w:tcW w:w="1415"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Fonts w:hint="eastAsia" w:ascii="仿宋" w:hAnsi="仿宋" w:eastAsia="仿宋" w:cs="仿宋"/>
                <w:color w:val="000000"/>
                <w:sz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710" w:type="dxa"/>
            <w:tcBorders>
              <w:tl2br w:val="nil"/>
              <w:tr2bl w:val="nil"/>
            </w:tcBorders>
            <w:vAlign w:val="center"/>
          </w:tcPr>
          <w:p>
            <w:pPr>
              <w:pStyle w:val="186"/>
              <w:adjustRightInd/>
              <w:ind w:firstLine="0" w:firstLineChars="0"/>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23</w:t>
            </w:r>
          </w:p>
        </w:tc>
        <w:tc>
          <w:tcPr>
            <w:tcW w:w="1607" w:type="dxa"/>
            <w:tcBorders>
              <w:tl2br w:val="nil"/>
              <w:tr2bl w:val="nil"/>
            </w:tcBorders>
            <w:vAlign w:val="center"/>
          </w:tcPr>
          <w:p>
            <w:pPr>
              <w:pStyle w:val="143"/>
              <w:spacing w:line="300" w:lineRule="auto"/>
              <w:ind w:firstLine="0" w:firstLineChars="0"/>
              <w:rPr>
                <w:rStyle w:val="152"/>
                <w:rFonts w:hint="default" w:ascii="仿宋" w:hAnsi="仿宋" w:eastAsia="仿宋" w:cs="仿宋"/>
                <w:lang w:val="en-US" w:eastAsia="zh-CN"/>
              </w:rPr>
            </w:pPr>
          </w:p>
        </w:tc>
        <w:tc>
          <w:tcPr>
            <w:tcW w:w="1748" w:type="dxa"/>
            <w:tcBorders>
              <w:tl2br w:val="nil"/>
              <w:tr2bl w:val="nil"/>
            </w:tcBorders>
            <w:vAlign w:val="center"/>
          </w:tcPr>
          <w:p>
            <w:pPr>
              <w:pStyle w:val="143"/>
              <w:spacing w:line="300" w:lineRule="auto"/>
              <w:ind w:firstLine="0" w:firstLineChars="0"/>
              <w:jc w:val="both"/>
              <w:rPr>
                <w:rStyle w:val="152"/>
                <w:rFonts w:hint="eastAsia" w:ascii="仿宋" w:hAnsi="仿宋" w:eastAsia="仿宋" w:cs="仿宋"/>
                <w:lang w:val="en-US" w:eastAsia="zh-CN"/>
              </w:rPr>
            </w:pPr>
            <w:r>
              <w:rPr>
                <w:rStyle w:val="152"/>
                <w:rFonts w:hint="eastAsia" w:ascii="仿宋" w:hAnsi="仿宋" w:eastAsia="仿宋" w:cs="仿宋"/>
                <w:lang w:val="en-US" w:eastAsia="zh-CN"/>
              </w:rPr>
              <w:t>天然气</w:t>
            </w:r>
          </w:p>
        </w:tc>
        <w:tc>
          <w:tcPr>
            <w:tcW w:w="2025" w:type="dxa"/>
            <w:tcBorders>
              <w:tl2br w:val="nil"/>
              <w:tr2bl w:val="nil"/>
            </w:tcBorders>
            <w:vAlign w:val="center"/>
          </w:tcPr>
          <w:p>
            <w:pPr>
              <w:pStyle w:val="143"/>
              <w:spacing w:line="300" w:lineRule="auto"/>
              <w:rPr>
                <w:rStyle w:val="152"/>
                <w:rFonts w:hint="default" w:ascii="仿宋" w:hAnsi="仿宋" w:eastAsia="仿宋" w:cs="仿宋"/>
                <w:lang w:val="en-US" w:eastAsia="zh-CN"/>
              </w:rPr>
            </w:pPr>
            <w:r>
              <w:rPr>
                <w:rStyle w:val="152"/>
                <w:rFonts w:hint="eastAsia" w:ascii="仿宋" w:hAnsi="仿宋" w:eastAsia="仿宋" w:cs="仿宋"/>
                <w:lang w:val="en-US" w:eastAsia="zh-CN"/>
              </w:rPr>
              <w:t>/</w:t>
            </w:r>
          </w:p>
        </w:tc>
        <w:tc>
          <w:tcPr>
            <w:tcW w:w="1373" w:type="dxa"/>
            <w:tcBorders>
              <w:tl2br w:val="nil"/>
              <w:tr2bl w:val="nil"/>
            </w:tcBorders>
            <w:vAlign w:val="center"/>
          </w:tcPr>
          <w:p>
            <w:pPr>
              <w:adjustRightInd/>
              <w:ind w:firstLine="420" w:firstLineChars="200"/>
              <w:jc w:val="center"/>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10</w:t>
            </w:r>
          </w:p>
        </w:tc>
        <w:tc>
          <w:tcPr>
            <w:tcW w:w="1415"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3" w:hRule="atLeast"/>
          <w:jc w:val="center"/>
        </w:trPr>
        <w:tc>
          <w:tcPr>
            <w:tcW w:w="6090" w:type="dxa"/>
            <w:gridSpan w:val="4"/>
            <w:tcBorders>
              <w:tl2br w:val="nil"/>
              <w:tr2bl w:val="nil"/>
            </w:tcBorders>
            <w:vAlign w:val="center"/>
          </w:tcPr>
          <w:p>
            <w:pPr>
              <w:pStyle w:val="143"/>
              <w:spacing w:line="300" w:lineRule="auto"/>
              <w:rPr>
                <w:rStyle w:val="152"/>
                <w:rFonts w:hint="eastAsia" w:ascii="仿宋" w:hAnsi="仿宋" w:eastAsia="仿宋" w:cs="仿宋"/>
                <w:lang w:val="en-US" w:eastAsia="zh-CN"/>
              </w:rPr>
            </w:pPr>
          </w:p>
        </w:tc>
        <w:tc>
          <w:tcPr>
            <w:tcW w:w="1373" w:type="dxa"/>
            <w:tcBorders>
              <w:tl2br w:val="nil"/>
              <w:tr2bl w:val="nil"/>
            </w:tcBorders>
            <w:vAlign w:val="center"/>
          </w:tcPr>
          <w:p>
            <w:pPr>
              <w:adjustRightInd/>
              <w:ind w:firstLine="420" w:firstLineChars="200"/>
              <w:jc w:val="center"/>
              <w:rPr>
                <w:rFonts w:hint="eastAsia" w:ascii="仿宋" w:hAnsi="仿宋" w:eastAsia="仿宋" w:cs="仿宋"/>
                <w:color w:val="000000"/>
                <w:sz w:val="21"/>
                <w:lang w:val="en-US" w:eastAsia="zh-CN"/>
              </w:rPr>
            </w:pPr>
            <w:r>
              <w:rPr>
                <w:rStyle w:val="152"/>
                <w:rFonts w:hint="eastAsia" w:ascii="仿宋" w:hAnsi="仿宋" w:eastAsia="仿宋" w:cs="仿宋"/>
                <w:lang w:val="en-US" w:eastAsia="zh-CN"/>
              </w:rPr>
              <w:t>总计</w:t>
            </w:r>
          </w:p>
        </w:tc>
        <w:tc>
          <w:tcPr>
            <w:tcW w:w="1415" w:type="dxa"/>
            <w:tcBorders>
              <w:tl2br w:val="nil"/>
              <w:tr2bl w:val="nil"/>
            </w:tcBorders>
            <w:vAlign w:val="center"/>
          </w:tcPr>
          <w:p>
            <w:pPr>
              <w:adjustRightInd/>
              <w:ind w:firstLine="420" w:firstLineChars="200"/>
              <w:jc w:val="center"/>
              <w:rPr>
                <w:rFonts w:hint="default" w:ascii="仿宋" w:hAnsi="仿宋" w:eastAsia="仿宋" w:cs="仿宋"/>
                <w:color w:val="000000"/>
                <w:sz w:val="21"/>
                <w:lang w:val="en-US" w:eastAsia="zh-CN"/>
              </w:rPr>
            </w:pPr>
            <w:r>
              <w:rPr>
                <w:rFonts w:hint="eastAsia" w:ascii="仿宋" w:hAnsi="仿宋" w:eastAsia="仿宋" w:cs="仿宋"/>
                <w:color w:val="000000"/>
                <w:sz w:val="21"/>
                <w:lang w:val="en-US" w:eastAsia="zh-CN"/>
              </w:rPr>
              <w:t>3.7</w:t>
            </w:r>
          </w:p>
        </w:tc>
      </w:tr>
    </w:tbl>
    <w:p>
      <w:pPr>
        <w:pageBreakBefore w:val="0"/>
        <w:kinsoku/>
        <w:wordWrap/>
        <w:overflowPunct/>
        <w:topLinePunct w:val="0"/>
        <w:bidi w:val="0"/>
        <w:spacing w:line="300" w:lineRule="auto"/>
        <w:rPr>
          <w:rFonts w:hint="eastAsia" w:ascii="Times New Roman" w:hAnsi="Times New Roman" w:eastAsia="仿宋" w:cs="黑体"/>
          <w:bCs/>
          <w:iCs/>
          <w:kern w:val="2"/>
          <w:sz w:val="28"/>
          <w:szCs w:val="28"/>
          <w:lang w:val="en-US" w:eastAsia="zh-CN" w:bidi="en-US"/>
        </w:rPr>
      </w:pPr>
    </w:p>
    <w:p>
      <w:pPr>
        <w:pageBreakBefore w:val="0"/>
        <w:kinsoku/>
        <w:wordWrap/>
        <w:overflowPunct/>
        <w:topLinePunct w:val="0"/>
        <w:bidi w:val="0"/>
        <w:spacing w:line="300" w:lineRule="auto"/>
        <w:ind w:left="0" w:leftChars="0" w:firstLine="560" w:firstLineChars="200"/>
        <w:rPr>
          <w:rFonts w:hint="eastAsia" w:ascii="Times New Roman" w:hAnsi="Times New Roman" w:eastAsia="仿宋" w:cs="黑体"/>
          <w:bCs/>
          <w:iCs/>
          <w:kern w:val="2"/>
          <w:sz w:val="28"/>
          <w:szCs w:val="28"/>
          <w:lang w:val="en-US" w:eastAsia="zh-CN" w:bidi="en-US"/>
        </w:rPr>
      </w:pPr>
      <w:r>
        <w:rPr>
          <w:rFonts w:hint="eastAsia" w:ascii="Times New Roman" w:hAnsi="Times New Roman" w:eastAsia="仿宋" w:cs="黑体"/>
          <w:bCs/>
          <w:iCs/>
          <w:kern w:val="2"/>
          <w:sz w:val="28"/>
          <w:szCs w:val="28"/>
          <w:lang w:val="en-US" w:eastAsia="zh-CN" w:bidi="en-US"/>
        </w:rPr>
        <w:t>根据风险物质与临界量比值分析可知，Q值1≤Q＜10，对照《企业突发环境事件风险分级方法》中Q值的划分，</w:t>
      </w:r>
      <w:bookmarkEnd w:id="95"/>
      <w:bookmarkEnd w:id="96"/>
      <w:bookmarkEnd w:id="97"/>
      <w:r>
        <w:rPr>
          <w:rFonts w:hint="eastAsia" w:ascii="Times New Roman" w:hAnsi="Times New Roman" w:eastAsia="仿宋" w:cs="黑体"/>
          <w:bCs/>
          <w:iCs/>
          <w:kern w:val="2"/>
          <w:sz w:val="28"/>
          <w:szCs w:val="28"/>
          <w:lang w:val="zh-CN" w:eastAsia="zh-CN" w:bidi="en-US"/>
        </w:rPr>
        <w:t>，确定新疆福克油品股份有限公司环境风险级别表征为：较大[较大-大气（Q</w:t>
      </w:r>
      <w:r>
        <w:rPr>
          <w:rFonts w:hint="eastAsia" w:ascii="Times New Roman" w:hAnsi="Times New Roman" w:eastAsia="仿宋" w:cs="黑体"/>
          <w:bCs/>
          <w:iCs/>
          <w:kern w:val="2"/>
          <w:sz w:val="28"/>
          <w:szCs w:val="28"/>
          <w:lang w:val="en-US" w:eastAsia="zh-CN" w:bidi="en-US"/>
        </w:rPr>
        <w:t>1</w:t>
      </w:r>
      <w:r>
        <w:rPr>
          <w:rFonts w:hint="eastAsia" w:ascii="Times New Roman" w:hAnsi="Times New Roman" w:eastAsia="仿宋" w:cs="黑体"/>
          <w:bCs/>
          <w:iCs/>
          <w:kern w:val="2"/>
          <w:sz w:val="28"/>
          <w:szCs w:val="28"/>
          <w:lang w:val="zh-CN" w:eastAsia="zh-CN" w:bidi="en-US"/>
        </w:rPr>
        <w:t>）+一般-水（Q</w:t>
      </w:r>
      <w:r>
        <w:rPr>
          <w:rFonts w:hint="eastAsia" w:ascii="Times New Roman" w:hAnsi="Times New Roman" w:eastAsia="仿宋" w:cs="黑体"/>
          <w:bCs/>
          <w:iCs/>
          <w:kern w:val="2"/>
          <w:sz w:val="28"/>
          <w:szCs w:val="28"/>
          <w:lang w:val="en-US" w:eastAsia="zh-CN" w:bidi="en-US"/>
        </w:rPr>
        <w:t>1</w:t>
      </w:r>
      <w:r>
        <w:rPr>
          <w:rFonts w:hint="eastAsia" w:ascii="Times New Roman" w:hAnsi="Times New Roman" w:eastAsia="仿宋" w:cs="黑体"/>
          <w:bCs/>
          <w:iCs/>
          <w:kern w:val="2"/>
          <w:sz w:val="28"/>
          <w:szCs w:val="28"/>
          <w:lang w:val="zh-CN" w:eastAsia="zh-CN" w:bidi="en-US"/>
        </w:rPr>
        <w:t>）]。</w:t>
      </w:r>
    </w:p>
    <w:bookmarkEnd w:id="52"/>
    <w:p>
      <w:pPr>
        <w:pStyle w:val="43"/>
        <w:ind w:firstLine="883"/>
      </w:pPr>
      <w:bookmarkStart w:id="98" w:name="_Toc11123"/>
      <w:bookmarkStart w:id="99" w:name="_Toc8740"/>
      <w:bookmarkStart w:id="100" w:name="_Toc19252"/>
      <w:bookmarkStart w:id="101" w:name="_Toc21319"/>
      <w:bookmarkStart w:id="102" w:name="_Toc505945698"/>
      <w:bookmarkStart w:id="103" w:name="_Toc463949089"/>
      <w:bookmarkStart w:id="104" w:name="_Toc463949101"/>
      <w:r>
        <w:rPr>
          <w:rFonts w:hint="eastAsia"/>
        </w:rPr>
        <w:t>应急组织指挥体系与职责</w:t>
      </w:r>
      <w:bookmarkEnd w:id="98"/>
      <w:bookmarkEnd w:id="99"/>
      <w:bookmarkEnd w:id="100"/>
      <w:bookmarkEnd w:id="101"/>
      <w:bookmarkEnd w:id="102"/>
      <w:bookmarkEnd w:id="103"/>
    </w:p>
    <w:p>
      <w:pPr>
        <w:pStyle w:val="131"/>
      </w:pPr>
      <w:bookmarkStart w:id="105" w:name="_Toc10832"/>
      <w:bookmarkStart w:id="106" w:name="_Toc20286"/>
      <w:bookmarkStart w:id="107" w:name="_Toc505945699"/>
      <w:bookmarkStart w:id="108" w:name="_Toc463949090"/>
      <w:r>
        <w:rPr>
          <w:rFonts w:hint="eastAsia"/>
        </w:rPr>
        <w:t>内部应急</w:t>
      </w:r>
      <w:r>
        <w:rPr>
          <w:rFonts w:hint="eastAsia"/>
          <w:lang w:eastAsia="zh-CN"/>
        </w:rPr>
        <w:t>体系</w:t>
      </w:r>
      <w:r>
        <w:rPr>
          <w:rFonts w:hint="eastAsia"/>
        </w:rPr>
        <w:t>与职责</w:t>
      </w:r>
      <w:bookmarkEnd w:id="105"/>
      <w:bookmarkEnd w:id="106"/>
      <w:bookmarkEnd w:id="107"/>
      <w:bookmarkEnd w:id="108"/>
    </w:p>
    <w:p>
      <w:pPr>
        <w:pStyle w:val="124"/>
        <w:ind w:firstLine="560"/>
      </w:pPr>
      <w:r>
        <w:rPr>
          <w:rFonts w:hint="eastAsia"/>
        </w:rPr>
        <w:t>根据本项目实际情况，本项目环境风险主要为原辅料泄漏、中间产品、终产品泄漏、火灾、爆炸。为保证职工及处理</w:t>
      </w:r>
      <w:r>
        <w:rPr>
          <w:rFonts w:hint="eastAsia"/>
          <w:lang w:val="en-US" w:eastAsia="zh-CN"/>
        </w:rPr>
        <w:t>现</w:t>
      </w:r>
      <w:r>
        <w:rPr>
          <w:rFonts w:hint="eastAsia"/>
        </w:rPr>
        <w:t>场的生命和财产的安全，预防突发性化学事故发生，并能做到在事故发生后得到迅速有效地实现控制和处理，最大程度地减少事故所带来的损失，按照处理场“预防为主、自救为主、统一指挥、分工负责”的原则，成立以总经理为总指挥的应急救援组织机构，统一指挥生产安全事故的应急施救工作。“应急救援领导小组”成员名单如下：</w:t>
      </w:r>
    </w:p>
    <w:p>
      <w:pPr>
        <w:pStyle w:val="124"/>
        <w:ind w:firstLine="560"/>
      </w:pPr>
      <w:r>
        <w:rPr>
          <w:rFonts w:hint="eastAsia"/>
        </w:rPr>
        <w:t>总指挥：涂晶（经理）</w:t>
      </w:r>
    </w:p>
    <w:p>
      <w:pPr>
        <w:pStyle w:val="124"/>
        <w:ind w:firstLine="560"/>
      </w:pPr>
      <w:r>
        <w:rPr>
          <w:rFonts w:hint="eastAsia"/>
        </w:rPr>
        <w:t>副总指挥：赵博（书记）</w:t>
      </w:r>
    </w:p>
    <w:p>
      <w:pPr>
        <w:pStyle w:val="124"/>
        <w:ind w:firstLine="560"/>
      </w:pPr>
      <w:r>
        <w:rPr>
          <w:rFonts w:hint="eastAsia"/>
        </w:rPr>
        <w:t>成员：各组负责人见表4-1。</w:t>
      </w:r>
    </w:p>
    <w:p>
      <w:pPr>
        <w:jc w:val="center"/>
        <w:rPr>
          <w:rFonts w:hint="eastAsia" w:ascii="仿宋" w:hAnsi="仿宋" w:eastAsia="仿宋" w:cs="仿宋"/>
          <w:sz w:val="24"/>
          <w:szCs w:val="24"/>
        </w:rPr>
      </w:pPr>
      <w:bookmarkStart w:id="109" w:name="_Toc31713"/>
      <w:bookmarkStart w:id="110" w:name="_Toc481858212"/>
      <w:r>
        <w:rPr>
          <w:rFonts w:hint="eastAsia" w:ascii="仿宋" w:hAnsi="仿宋" w:eastAsia="仿宋" w:cs="仿宋"/>
          <w:sz w:val="24"/>
          <w:szCs w:val="24"/>
        </w:rPr>
        <w:t>表4-1  “应急救援领导班子”通讯联络号码</w:t>
      </w:r>
      <w:bookmarkEnd w:id="109"/>
      <w:bookmarkEnd w:id="110"/>
    </w:p>
    <w:tbl>
      <w:tblPr>
        <w:tblStyle w:val="41"/>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
      <w:tblGrid>
        <w:gridCol w:w="778"/>
        <w:gridCol w:w="3003"/>
        <w:gridCol w:w="3158"/>
        <w:gridCol w:w="1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0" w:hRule="atLeast"/>
        </w:trPr>
        <w:tc>
          <w:tcPr>
            <w:tcW w:w="77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序号</w:t>
            </w:r>
          </w:p>
        </w:tc>
        <w:tc>
          <w:tcPr>
            <w:tcW w:w="3003"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职位（岗位）</w:t>
            </w:r>
          </w:p>
        </w:tc>
        <w:tc>
          <w:tcPr>
            <w:tcW w:w="315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姓名</w:t>
            </w:r>
          </w:p>
        </w:tc>
        <w:tc>
          <w:tcPr>
            <w:tcW w:w="1942"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0" w:hRule="atLeast"/>
        </w:trPr>
        <w:tc>
          <w:tcPr>
            <w:tcW w:w="77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w:t>
            </w:r>
          </w:p>
        </w:tc>
        <w:tc>
          <w:tcPr>
            <w:tcW w:w="3003"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董事长</w:t>
            </w:r>
          </w:p>
        </w:tc>
        <w:tc>
          <w:tcPr>
            <w:tcW w:w="315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涂登源</w:t>
            </w:r>
          </w:p>
        </w:tc>
        <w:tc>
          <w:tcPr>
            <w:tcW w:w="1942"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13609964189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0" w:hRule="atLeast"/>
        </w:trPr>
        <w:tc>
          <w:tcPr>
            <w:tcW w:w="77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2</w:t>
            </w:r>
          </w:p>
        </w:tc>
        <w:tc>
          <w:tcPr>
            <w:tcW w:w="3003"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总经理</w:t>
            </w:r>
          </w:p>
        </w:tc>
        <w:tc>
          <w:tcPr>
            <w:tcW w:w="315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涂晶</w:t>
            </w:r>
          </w:p>
        </w:tc>
        <w:tc>
          <w:tcPr>
            <w:tcW w:w="1942"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13999136693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0" w:hRule="atLeast"/>
        </w:trPr>
        <w:tc>
          <w:tcPr>
            <w:tcW w:w="77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3</w:t>
            </w:r>
          </w:p>
        </w:tc>
        <w:tc>
          <w:tcPr>
            <w:tcW w:w="3003"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书记</w:t>
            </w:r>
          </w:p>
        </w:tc>
        <w:tc>
          <w:tcPr>
            <w:tcW w:w="315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赵博</w:t>
            </w:r>
          </w:p>
        </w:tc>
        <w:tc>
          <w:tcPr>
            <w:tcW w:w="1942"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13899925788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0" w:hRule="atLeast"/>
        </w:trPr>
        <w:tc>
          <w:tcPr>
            <w:tcW w:w="77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4</w:t>
            </w:r>
          </w:p>
        </w:tc>
        <w:tc>
          <w:tcPr>
            <w:tcW w:w="3003"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总工</w:t>
            </w:r>
          </w:p>
        </w:tc>
        <w:tc>
          <w:tcPr>
            <w:tcW w:w="315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严晓虎</w:t>
            </w:r>
          </w:p>
        </w:tc>
        <w:tc>
          <w:tcPr>
            <w:tcW w:w="1942"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13325592939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0" w:hRule="atLeast"/>
        </w:trPr>
        <w:tc>
          <w:tcPr>
            <w:tcW w:w="77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5</w:t>
            </w:r>
          </w:p>
        </w:tc>
        <w:tc>
          <w:tcPr>
            <w:tcW w:w="3003"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副总经理</w:t>
            </w:r>
          </w:p>
        </w:tc>
        <w:tc>
          <w:tcPr>
            <w:tcW w:w="3158"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陈超</w:t>
            </w:r>
          </w:p>
        </w:tc>
        <w:tc>
          <w:tcPr>
            <w:tcW w:w="1942"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18690812256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0" w:hRule="atLeast"/>
        </w:trPr>
        <w:tc>
          <w:tcPr>
            <w:tcW w:w="77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6</w:t>
            </w:r>
          </w:p>
        </w:tc>
        <w:tc>
          <w:tcPr>
            <w:tcW w:w="3003"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环保总监</w:t>
            </w:r>
          </w:p>
        </w:tc>
        <w:tc>
          <w:tcPr>
            <w:tcW w:w="3158"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姚伟</w:t>
            </w:r>
          </w:p>
        </w:tc>
        <w:tc>
          <w:tcPr>
            <w:tcW w:w="1942"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18699575919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0" w:hRule="atLeast"/>
        </w:trPr>
        <w:tc>
          <w:tcPr>
            <w:tcW w:w="77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7</w:t>
            </w:r>
          </w:p>
        </w:tc>
        <w:tc>
          <w:tcPr>
            <w:tcW w:w="3003"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生产副总</w:t>
            </w:r>
          </w:p>
        </w:tc>
        <w:tc>
          <w:tcPr>
            <w:tcW w:w="3158"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李伟</w:t>
            </w:r>
          </w:p>
        </w:tc>
        <w:tc>
          <w:tcPr>
            <w:tcW w:w="1942"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15699300237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0" w:hRule="atLeast"/>
        </w:trPr>
        <w:tc>
          <w:tcPr>
            <w:tcW w:w="77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8</w:t>
            </w:r>
          </w:p>
        </w:tc>
        <w:tc>
          <w:tcPr>
            <w:tcW w:w="3003"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电气工程师</w:t>
            </w:r>
          </w:p>
        </w:tc>
        <w:tc>
          <w:tcPr>
            <w:tcW w:w="3158"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王金</w:t>
            </w:r>
          </w:p>
        </w:tc>
        <w:tc>
          <w:tcPr>
            <w:tcW w:w="1942"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15999169392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0" w:hRule="atLeast"/>
        </w:trPr>
        <w:tc>
          <w:tcPr>
            <w:tcW w:w="77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9</w:t>
            </w:r>
          </w:p>
        </w:tc>
        <w:tc>
          <w:tcPr>
            <w:tcW w:w="3003"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机械工程师</w:t>
            </w:r>
          </w:p>
        </w:tc>
        <w:tc>
          <w:tcPr>
            <w:tcW w:w="3158"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李峰涛</w:t>
            </w:r>
          </w:p>
        </w:tc>
        <w:tc>
          <w:tcPr>
            <w:tcW w:w="1942"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18326761275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0" w:hRule="atLeast"/>
        </w:trPr>
        <w:tc>
          <w:tcPr>
            <w:tcW w:w="77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10</w:t>
            </w:r>
          </w:p>
        </w:tc>
        <w:tc>
          <w:tcPr>
            <w:tcW w:w="3003"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废油再生车间负责人</w:t>
            </w:r>
          </w:p>
        </w:tc>
        <w:tc>
          <w:tcPr>
            <w:tcW w:w="3158"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原凯</w:t>
            </w:r>
          </w:p>
        </w:tc>
        <w:tc>
          <w:tcPr>
            <w:tcW w:w="1942"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15714972887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08" w:type="dxa"/>
            <w:bottom w:w="15" w:type="dxa"/>
            <w:right w:w="108" w:type="dxa"/>
          </w:tblCellMar>
        </w:tblPrEx>
        <w:trPr>
          <w:trHeight w:val="240" w:hRule="atLeast"/>
        </w:trPr>
        <w:tc>
          <w:tcPr>
            <w:tcW w:w="778"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11</w:t>
            </w:r>
          </w:p>
        </w:tc>
        <w:tc>
          <w:tcPr>
            <w:tcW w:w="3003" w:type="dxa"/>
            <w:vAlign w:val="center"/>
          </w:tcPr>
          <w:p>
            <w:pPr>
              <w:widowControl/>
              <w:jc w:val="center"/>
              <w:rPr>
                <w:rFonts w:hint="eastAsia" w:ascii="仿宋" w:hAnsi="仿宋" w:eastAsia="仿宋" w:cs="仿宋"/>
                <w:color w:val="000000" w:themeColor="text1"/>
                <w:kern w:val="0"/>
                <w:sz w:val="21"/>
                <w:szCs w:val="21"/>
                <w14:textFill>
                  <w14:solidFill>
                    <w14:schemeClr w14:val="tx1"/>
                  </w14:solidFill>
                </w14:textFill>
              </w:rPr>
            </w:pPr>
            <w:r>
              <w:rPr>
                <w:rFonts w:hint="eastAsia" w:ascii="仿宋" w:hAnsi="仿宋" w:eastAsia="仿宋" w:cs="仿宋"/>
                <w:color w:val="000000" w:themeColor="text1"/>
                <w:kern w:val="0"/>
                <w:sz w:val="21"/>
                <w:szCs w:val="21"/>
                <w14:textFill>
                  <w14:solidFill>
                    <w14:schemeClr w14:val="tx1"/>
                  </w14:solidFill>
                </w14:textFill>
              </w:rPr>
              <w:t>调油灌装车间负责人</w:t>
            </w:r>
          </w:p>
        </w:tc>
        <w:tc>
          <w:tcPr>
            <w:tcW w:w="3158"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陈磊</w:t>
            </w:r>
          </w:p>
        </w:tc>
        <w:tc>
          <w:tcPr>
            <w:tcW w:w="1942" w:type="dxa"/>
            <w:vAlign w:val="center"/>
          </w:tcPr>
          <w:p>
            <w:pPr>
              <w:widowControl/>
              <w:jc w:val="center"/>
              <w:rPr>
                <w:rFonts w:hint="eastAsia" w:ascii="仿宋" w:hAnsi="仿宋" w:eastAsia="仿宋" w:cs="仿宋"/>
                <w:kern w:val="0"/>
                <w:sz w:val="21"/>
                <w:szCs w:val="21"/>
              </w:rPr>
            </w:pPr>
            <w:r>
              <w:rPr>
                <w:rFonts w:hint="eastAsia" w:ascii="仿宋" w:hAnsi="仿宋" w:eastAsia="仿宋" w:cs="仿宋"/>
                <w:kern w:val="0"/>
                <w:sz w:val="21"/>
                <w:szCs w:val="21"/>
              </w:rPr>
              <w:t>18599120181</w:t>
            </w:r>
          </w:p>
        </w:tc>
      </w:tr>
    </w:tbl>
    <w:p>
      <w:pPr>
        <w:autoSpaceDE w:val="0"/>
        <w:autoSpaceDN w:val="0"/>
        <w:adjustRightInd w:val="0"/>
        <w:snapToGrid w:val="0"/>
        <w:ind w:firstLine="480"/>
        <w:rPr>
          <w:rFonts w:ascii="仿宋" w:hAnsi="仿宋" w:eastAsia="仿宋"/>
          <w:color w:val="000000" w:themeColor="text1"/>
          <w:szCs w:val="28"/>
          <w:lang w:val="zh-CN"/>
          <w14:textFill>
            <w14:solidFill>
              <w14:schemeClr w14:val="tx1"/>
            </w14:solidFill>
          </w14:textFill>
        </w:rPr>
      </w:pPr>
    </w:p>
    <w:p>
      <w:pPr>
        <w:pStyle w:val="124"/>
        <w:ind w:firstLine="560"/>
      </w:pPr>
      <w:r>
        <w:rPr>
          <w:rFonts w:hint="eastAsia"/>
        </w:rPr>
        <w:t>当发生突发事故时，应急救援组织能尽快的采取有效的措施，第一时间投入紧急事故的处理，以防事态进一步扩大。厂区设立的应急救援小组包括厂指挥部和专业救援队伍。厂指挥部负责现场全面指挥；专业救援队伍负责事故控制、救援和善后处理。公司在日常运行期间组建了“事故应急救援队伍”，在企业应急指挥小组的统一领导下，编为技术组、抢险组、后勤组、</w:t>
      </w:r>
      <w:r>
        <w:rPr>
          <w:rFonts w:hint="eastAsia"/>
          <w:lang w:eastAsia="zh-CN"/>
        </w:rPr>
        <w:t>医疗救护</w:t>
      </w:r>
      <w:r>
        <w:rPr>
          <w:rFonts w:hint="eastAsia"/>
        </w:rPr>
        <w:t>组及通讯组等五个行动小组，组织机构详见图4-1和应急响应程序图。</w:t>
      </w:r>
    </w:p>
    <w:p>
      <w:pPr>
        <w:pStyle w:val="139"/>
        <w:spacing w:after="48"/>
      </w:pPr>
      <w:r>
        <w:rPr>
          <w:color w:val="000000" w:themeColor="text1"/>
          <w14:textFill>
            <w14:solidFill>
              <w14:schemeClr w14:val="tx1"/>
            </w14:solidFill>
          </w14:textFill>
        </w:rPr>
        <w:drawing>
          <wp:inline distT="0" distB="0" distL="114300" distR="114300">
            <wp:extent cx="4827270" cy="2246630"/>
            <wp:effectExtent l="0" t="0" r="11430" b="127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4827270" cy="2246630"/>
                    </a:xfrm>
                    <a:prstGeom prst="rect">
                      <a:avLst/>
                    </a:prstGeom>
                    <a:noFill/>
                    <a:ln w="9525">
                      <a:noFill/>
                    </a:ln>
                  </pic:spPr>
                </pic:pic>
              </a:graphicData>
            </a:graphic>
          </wp:inline>
        </w:drawing>
      </w:r>
    </w:p>
    <w:p>
      <w:pPr>
        <w:pStyle w:val="139"/>
        <w:spacing w:after="48"/>
        <w:jc w:val="left"/>
      </w:pPr>
    </w:p>
    <w:p>
      <w:pPr>
        <w:spacing w:line="360" w:lineRule="auto"/>
        <w:ind w:firstLine="2640" w:firstLineChars="1100"/>
        <w:rPr>
          <w:rFonts w:hint="eastAsia" w:ascii="仿宋" w:hAnsi="仿宋" w:eastAsia="仿宋" w:cs="仿宋"/>
          <w:b w:val="0"/>
          <w:bCs/>
          <w:iCs/>
          <w:sz w:val="24"/>
          <w:szCs w:val="24"/>
          <w:lang w:bidi="en-US"/>
        </w:rPr>
      </w:pPr>
      <w:r>
        <w:rPr>
          <w:rFonts w:hint="eastAsia" w:ascii="仿宋" w:hAnsi="仿宋" w:eastAsia="仿宋" w:cs="仿宋"/>
          <w:b w:val="0"/>
          <w:bCs/>
          <w:sz w:val="24"/>
          <w:szCs w:val="24"/>
        </w:rPr>
        <w:t>图4-1   应急组织体系</w:t>
      </w:r>
    </w:p>
    <w:p>
      <w:pPr>
        <w:rPr>
          <w:rFonts w:ascii="仿宋" w:hAnsi="仿宋" w:eastAsia="仿宋"/>
          <w:sz w:val="28"/>
          <w:szCs w:val="28"/>
        </w:rPr>
      </w:pPr>
    </w:p>
    <w:p>
      <w:pPr>
        <w:jc w:val="center"/>
        <w:rPr>
          <w:rFonts w:ascii="仿宋" w:hAnsi="仿宋" w:eastAsia="仿宋"/>
          <w:sz w:val="28"/>
          <w:szCs w:val="28"/>
        </w:rPr>
      </w:pPr>
      <w:r>
        <w:drawing>
          <wp:inline distT="0" distB="0" distL="114300" distR="114300">
            <wp:extent cx="5384165" cy="5149850"/>
            <wp:effectExtent l="0" t="0" r="6985" b="1270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21"/>
                    <a:stretch>
                      <a:fillRect/>
                    </a:stretch>
                  </pic:blipFill>
                  <pic:spPr>
                    <a:xfrm>
                      <a:off x="0" y="0"/>
                      <a:ext cx="5384165" cy="5149850"/>
                    </a:xfrm>
                    <a:prstGeom prst="rect">
                      <a:avLst/>
                    </a:prstGeom>
                    <a:noFill/>
                    <a:ln>
                      <a:noFill/>
                    </a:ln>
                  </pic:spPr>
                </pic:pic>
              </a:graphicData>
            </a:graphic>
          </wp:inline>
        </w:drawing>
      </w:r>
    </w:p>
    <w:p>
      <w:pPr>
        <w:jc w:val="center"/>
        <w:rPr>
          <w:rFonts w:ascii="仿宋" w:hAnsi="仿宋" w:eastAsia="仿宋"/>
          <w:sz w:val="28"/>
          <w:szCs w:val="28"/>
        </w:rPr>
      </w:pPr>
    </w:p>
    <w:p>
      <w:pPr>
        <w:spacing w:before="48" w:beforeLines="20" w:after="48" w:afterLines="20"/>
        <w:jc w:val="center"/>
        <w:rPr>
          <w:rFonts w:hint="eastAsia" w:ascii="仿宋" w:hAnsi="仿宋" w:eastAsia="仿宋" w:cs="仿宋"/>
          <w:b w:val="0"/>
          <w:bCs/>
          <w:sz w:val="24"/>
          <w:szCs w:val="24"/>
        </w:rPr>
      </w:pPr>
      <w:r>
        <w:rPr>
          <w:rFonts w:hint="eastAsia" w:ascii="仿宋" w:hAnsi="仿宋" w:eastAsia="仿宋" w:cs="仿宋"/>
          <w:b w:val="0"/>
          <w:bCs/>
          <w:sz w:val="24"/>
          <w:szCs w:val="24"/>
        </w:rPr>
        <w:t xml:space="preserve">图4-2    </w:t>
      </w:r>
      <w:r>
        <w:rPr>
          <w:rFonts w:hint="eastAsia" w:ascii="仿宋" w:hAnsi="仿宋" w:eastAsia="仿宋" w:cs="仿宋"/>
          <w:b w:val="0"/>
          <w:bCs/>
          <w:sz w:val="24"/>
          <w:szCs w:val="24"/>
          <w:lang w:eastAsia="zh-CN"/>
        </w:rPr>
        <w:t>内外应急体系关系图</w:t>
      </w:r>
    </w:p>
    <w:p>
      <w:pPr>
        <w:tabs>
          <w:tab w:val="center" w:pos="4334"/>
        </w:tabs>
        <w:bidi w:val="0"/>
        <w:jc w:val="left"/>
        <w:rPr>
          <w:rFonts w:ascii="Calibri" w:hAnsi="Calibri" w:eastAsia="宋体" w:cs="黑体"/>
          <w:kern w:val="2"/>
          <w:sz w:val="21"/>
          <w:szCs w:val="22"/>
          <w:lang w:val="en-US" w:eastAsia="zh-CN" w:bidi="ar-SA"/>
        </w:rPr>
        <w:sectPr>
          <w:footerReference r:id="rId11" w:type="default"/>
          <w:pgSz w:w="11906" w:h="16838"/>
          <w:pgMar w:top="1440" w:right="1440" w:bottom="1440" w:left="1797" w:header="765" w:footer="1134" w:gutter="0"/>
          <w:pgNumType w:fmt="numberInDash"/>
          <w:cols w:space="720" w:num="1"/>
          <w:docGrid w:linePitch="360" w:charSpace="0"/>
        </w:sectPr>
      </w:pPr>
    </w:p>
    <w:p>
      <w:pPr>
        <w:jc w:val="center"/>
        <w:rPr>
          <w:rFonts w:ascii="仿宋" w:hAnsi="仿宋" w:eastAsia="仿宋"/>
          <w:sz w:val="28"/>
          <w:szCs w:val="28"/>
        </w:rPr>
      </w:pPr>
    </w:p>
    <w:p>
      <w:pPr>
        <w:pStyle w:val="142"/>
      </w:pPr>
    </w:p>
    <w:p>
      <w:pPr>
        <w:pStyle w:val="132"/>
      </w:pPr>
      <w:bookmarkStart w:id="111" w:name="_Toc27610"/>
      <w:bookmarkStart w:id="112" w:name="_Toc463949091"/>
      <w:bookmarkStart w:id="113" w:name="_Toc505945700"/>
      <w:bookmarkStart w:id="114" w:name="_Toc2301"/>
      <w:bookmarkStart w:id="115" w:name="_Toc420513979"/>
      <w:r>
        <w:rPr>
          <w:rFonts w:hint="eastAsia"/>
        </w:rPr>
        <w:t>指挥机构人员组成</w:t>
      </w:r>
      <w:bookmarkEnd w:id="111"/>
      <w:bookmarkEnd w:id="112"/>
      <w:bookmarkEnd w:id="113"/>
      <w:bookmarkEnd w:id="114"/>
      <w:bookmarkEnd w:id="115"/>
    </w:p>
    <w:p>
      <w:pPr>
        <w:pStyle w:val="124"/>
        <w:ind w:firstLine="560"/>
        <w:rPr>
          <w:rFonts w:ascii="仿宋" w:hAnsi="仿宋"/>
          <w:bCs w:val="0"/>
          <w:iCs w:val="0"/>
        </w:rPr>
      </w:pPr>
      <w:bookmarkStart w:id="116" w:name="_Toc399770010"/>
      <w:bookmarkStart w:id="117" w:name="_Toc420513980"/>
      <w:r>
        <w:rPr>
          <w:rFonts w:hint="eastAsia" w:ascii="仿宋" w:hAnsi="仿宋"/>
          <w:bCs w:val="0"/>
          <w:iCs w:val="0"/>
        </w:rPr>
        <w:t>总指挥：涂晶（总经理）</w:t>
      </w:r>
    </w:p>
    <w:p>
      <w:pPr>
        <w:pStyle w:val="124"/>
        <w:ind w:firstLine="560"/>
        <w:rPr>
          <w:rFonts w:ascii="仿宋" w:hAnsi="仿宋"/>
          <w:bCs w:val="0"/>
          <w:iCs w:val="0"/>
        </w:rPr>
      </w:pPr>
      <w:r>
        <w:rPr>
          <w:rFonts w:hint="eastAsia" w:ascii="仿宋" w:hAnsi="仿宋"/>
          <w:bCs w:val="0"/>
          <w:iCs w:val="0"/>
        </w:rPr>
        <w:t>副总指挥：赵博（书记）</w:t>
      </w:r>
    </w:p>
    <w:p>
      <w:pPr>
        <w:pStyle w:val="124"/>
        <w:ind w:firstLine="560"/>
        <w:rPr>
          <w:rFonts w:ascii="仿宋" w:hAnsi="仿宋"/>
          <w:bCs w:val="0"/>
          <w:iCs w:val="0"/>
          <w:lang w:bidi="he-IL"/>
        </w:rPr>
      </w:pPr>
      <w:r>
        <w:rPr>
          <w:rFonts w:hint="eastAsia" w:ascii="仿宋" w:hAnsi="仿宋"/>
          <w:bCs w:val="0"/>
          <w:iCs w:val="0"/>
        </w:rPr>
        <w:t>应急组成员：陈磊(</w:t>
      </w:r>
      <w:r>
        <w:rPr>
          <w:rFonts w:ascii="仿宋" w:hAnsi="仿宋"/>
          <w:bCs w:val="0"/>
          <w:iCs w:val="0"/>
        </w:rPr>
        <w:t>抢险救援组组长</w:t>
      </w:r>
      <w:r>
        <w:rPr>
          <w:rFonts w:hint="eastAsia" w:ascii="仿宋" w:hAnsi="仿宋"/>
          <w:bCs w:val="0"/>
          <w:iCs w:val="0"/>
        </w:rPr>
        <w:t>)、陈超</w:t>
      </w:r>
      <w:r>
        <w:rPr>
          <w:rFonts w:hint="eastAsia" w:ascii="仿宋" w:hAnsi="仿宋"/>
        </w:rPr>
        <w:t>（</w:t>
      </w:r>
      <w:r>
        <w:rPr>
          <w:rFonts w:ascii="仿宋" w:hAnsi="仿宋"/>
          <w:color w:val="000000"/>
          <w:lang w:bidi="he-IL"/>
        </w:rPr>
        <w:t>医疗救护组组长</w:t>
      </w:r>
      <w:r>
        <w:rPr>
          <w:rFonts w:hint="eastAsia" w:ascii="仿宋" w:hAnsi="仿宋"/>
        </w:rPr>
        <w:t>）</w:t>
      </w:r>
      <w:r>
        <w:rPr>
          <w:rFonts w:hint="eastAsia" w:ascii="仿宋" w:hAnsi="仿宋"/>
          <w:bCs w:val="0"/>
          <w:iCs w:val="0"/>
        </w:rPr>
        <w:t>、袁凯（后勤</w:t>
      </w:r>
      <w:r>
        <w:rPr>
          <w:rFonts w:ascii="仿宋" w:hAnsi="仿宋"/>
          <w:bCs w:val="0"/>
          <w:iCs w:val="0"/>
        </w:rPr>
        <w:t>组组长</w:t>
      </w:r>
      <w:r>
        <w:rPr>
          <w:rFonts w:hint="eastAsia" w:ascii="仿宋" w:hAnsi="仿宋"/>
          <w:bCs w:val="0"/>
          <w:iCs w:val="0"/>
        </w:rPr>
        <w:t>）、张寒峰（技术组组长），王金（通讯组组长）</w:t>
      </w:r>
    </w:p>
    <w:bookmarkEnd w:id="116"/>
    <w:p>
      <w:pPr>
        <w:pStyle w:val="132"/>
      </w:pPr>
      <w:bookmarkStart w:id="118" w:name="_Toc24589"/>
      <w:bookmarkStart w:id="119" w:name="_Toc28244"/>
      <w:bookmarkStart w:id="120" w:name="_Toc505945701"/>
      <w:bookmarkStart w:id="121" w:name="_Toc463949092"/>
      <w:bookmarkStart w:id="122" w:name="_Toc399770011"/>
      <w:r>
        <w:t>指挥机构组成及分工</w:t>
      </w:r>
      <w:bookmarkEnd w:id="117"/>
      <w:bookmarkEnd w:id="118"/>
      <w:bookmarkEnd w:id="119"/>
      <w:bookmarkEnd w:id="120"/>
      <w:bookmarkEnd w:id="121"/>
    </w:p>
    <w:p>
      <w:pPr>
        <w:pStyle w:val="124"/>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发生突发环境污染事故时，以指挥部为中心，负责公司应急救援工作的组织和指挥。如总经理不在企业时，副总指挥（赵博（书记）: </w:t>
      </w:r>
      <w:r>
        <w:rPr>
          <w:rFonts w:hint="eastAsia" w:ascii="宋体" w:hAnsi="宋体" w:cs="宋体"/>
          <w:color w:val="000000" w:themeColor="text1"/>
          <w:kern w:val="0"/>
          <w:szCs w:val="24"/>
          <w14:textFill>
            <w14:solidFill>
              <w14:schemeClr w14:val="tx1"/>
            </w14:solidFill>
          </w14:textFill>
        </w:rPr>
        <w:t>13899925788</w:t>
      </w:r>
      <w:r>
        <w:rPr>
          <w:rFonts w:hint="eastAsia"/>
          <w:color w:val="000000" w:themeColor="text1"/>
          <w14:textFill>
            <w14:solidFill>
              <w14:schemeClr w14:val="tx1"/>
            </w14:solidFill>
          </w14:textFill>
        </w:rPr>
        <w:t>）全权负责应急救援指挥工作。总指挥和副总指挥皆不在企业时，由值班领导全权代理总指挥负责应急救援指挥工作。</w:t>
      </w:r>
    </w:p>
    <w:p>
      <w:pPr>
        <w:pStyle w:val="124"/>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夜间紧急指挥系统，由值班领导组成临时指挥系统，在公司指挥系统人员未到之前行使指挥系统职责、权力，并负责向公司指挥系统汇报事故、抢险有关情况。各救援小组在临时指挥系统的组织指挥下按常规运行，直到应急救援处置指挥领导小组人员赶到</w:t>
      </w:r>
      <w:r>
        <w:rPr>
          <w:color w:val="000000" w:themeColor="text1"/>
          <w14:textFill>
            <w14:solidFill>
              <w14:schemeClr w14:val="tx1"/>
            </w14:solidFill>
          </w14:textFill>
        </w:rPr>
        <w:t>。</w:t>
      </w:r>
    </w:p>
    <w:p>
      <w:pPr>
        <w:pStyle w:val="124"/>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（1）总指挥——组织指挥全企业的突发环境事故应急救援工作，负责与环保、安监、消防等政府有关部门联系、沟通，并指挥启动公司突发环境应急救援预案；</w:t>
      </w:r>
    </w:p>
    <w:p>
      <w:pPr>
        <w:pStyle w:val="124"/>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（2）副总指挥——</w:t>
      </w:r>
      <w:r>
        <w:rPr>
          <w:color w:val="000000" w:themeColor="text1"/>
          <w14:textFill>
            <w14:solidFill>
              <w14:schemeClr w14:val="tx1"/>
            </w14:solidFill>
          </w14:textFill>
        </w:rPr>
        <w:t>协助总指挥组织应急救援工作，做好事故报警、通报、事故处置等工作</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负责指挥事故现场及有害物质扩散区域的洗消、检测工作，必要时代表指挥部对外发布有关事故信息，负责事故处理中的生产系统停开调度指挥和对外调度联系、事故现场的通讯联络及车辆调度工作，负责事故现场灭火、警戒、治安保卫、公司内外人员的疏散管理工作，负责应急现场物资调配。总指挥不在，负责全面应急救援工作</w:t>
      </w:r>
      <w:r>
        <w:rPr>
          <w:rFonts w:hint="eastAsia"/>
          <w:color w:val="000000" w:themeColor="text1"/>
          <w14:textFill>
            <w14:solidFill>
              <w14:schemeClr w14:val="tx1"/>
            </w14:solidFill>
          </w14:textFill>
        </w:rPr>
        <w:t xml:space="preserve">                  </w:t>
      </w:r>
    </w:p>
    <w:bookmarkEnd w:id="122"/>
    <w:p>
      <w:pPr>
        <w:pStyle w:val="132"/>
        <w:rPr>
          <w:color w:val="000000" w:themeColor="text1"/>
          <w14:textFill>
            <w14:solidFill>
              <w14:schemeClr w14:val="tx1"/>
            </w14:solidFill>
          </w14:textFill>
        </w:rPr>
      </w:pPr>
      <w:bookmarkStart w:id="123" w:name="_Toc505945702"/>
      <w:bookmarkStart w:id="124" w:name="_Toc1891"/>
      <w:bookmarkStart w:id="125" w:name="_Toc14241"/>
      <w:bookmarkStart w:id="126" w:name="_Toc420513981"/>
      <w:bookmarkStart w:id="127" w:name="_Toc463949093"/>
      <w:bookmarkStart w:id="128" w:name="_Toc343500246"/>
      <w:r>
        <w:rPr>
          <w:rFonts w:hint="eastAsia"/>
          <w:color w:val="000000" w:themeColor="text1"/>
          <w14:textFill>
            <w14:solidFill>
              <w14:schemeClr w14:val="tx1"/>
            </w14:solidFill>
          </w14:textFill>
        </w:rPr>
        <w:t>各小组成员及职责</w:t>
      </w:r>
      <w:bookmarkEnd w:id="123"/>
      <w:bookmarkEnd w:id="124"/>
      <w:bookmarkEnd w:id="125"/>
      <w:bookmarkEnd w:id="126"/>
      <w:bookmarkEnd w:id="127"/>
    </w:p>
    <w:bookmarkEnd w:id="128"/>
    <w:p>
      <w:pPr>
        <w:pStyle w:val="136"/>
        <w:rPr>
          <w:color w:val="000000" w:themeColor="text1"/>
          <w14:textFill>
            <w14:solidFill>
              <w14:schemeClr w14:val="tx1"/>
            </w14:solidFill>
          </w14:textFill>
        </w:rPr>
      </w:pPr>
      <w:bookmarkStart w:id="129" w:name="_Toc420513982"/>
      <w:r>
        <w:rPr>
          <w:rFonts w:hint="eastAsia"/>
          <w:color w:val="000000" w:themeColor="text1"/>
          <w14:textFill>
            <w14:solidFill>
              <w14:schemeClr w14:val="tx1"/>
            </w14:solidFill>
          </w14:textFill>
        </w:rPr>
        <w:t>应急指挥部主要职责</w:t>
      </w:r>
    </w:p>
    <w:p>
      <w:pPr>
        <w:pStyle w:val="124"/>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（1）负责企业生产事故应急救援预案的制定、修订；</w:t>
      </w:r>
    </w:p>
    <w:p>
      <w:pPr>
        <w:pStyle w:val="124"/>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（2）发布和解除应急救援命令信号；</w:t>
      </w:r>
    </w:p>
    <w:p>
      <w:pPr>
        <w:pStyle w:val="124"/>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（3）检查、督促做好突发环境事故的预防措施和应急救援的各项准备工作；</w:t>
      </w:r>
    </w:p>
    <w:p>
      <w:pPr>
        <w:pStyle w:val="124"/>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（4）全盘组织指挥应急救援队伍开展事故应急救援行动、善后处理，生产恢复；</w:t>
      </w:r>
    </w:p>
    <w:p>
      <w:pPr>
        <w:pStyle w:val="124"/>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（5）负责及时向上级有关部门（公安消防、安监、环保、质检、卫监）报告发生的事故；</w:t>
      </w:r>
    </w:p>
    <w:p>
      <w:pPr>
        <w:pStyle w:val="124"/>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（6）及时通报友邻单位，告知灾情程度、风向等事故情况，必要时向有关单位发出支援请求；</w:t>
      </w:r>
    </w:p>
    <w:p>
      <w:pPr>
        <w:pStyle w:val="124"/>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（7）负责组织或协调上级主管部门对事故的调查处理，事故的整改。</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抢险救援组主要职责</w:t>
      </w:r>
    </w:p>
    <w:p>
      <w:pPr>
        <w:pStyle w:val="124"/>
        <w:ind w:firstLine="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（1）对发生故障的设备进行抢修。</w:t>
      </w:r>
    </w:p>
    <w:p>
      <w:pPr>
        <w:pStyle w:val="124"/>
        <w:ind w:firstLine="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（2）了解各种抢修工具、器械、配件的用途、存放地点、数量，并妥善保管。</w:t>
      </w:r>
    </w:p>
    <w:p>
      <w:pPr>
        <w:pStyle w:val="124"/>
        <w:ind w:firstLine="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（3）负责事故现场处理工作；有条件时转移危险物品，事故扩大时应及时撤离现场。</w:t>
      </w:r>
    </w:p>
    <w:p>
      <w:pPr>
        <w:pStyle w:val="124"/>
        <w:ind w:firstLine="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（4）负责现场通讯联络，视情况及时向指挥部报告，请求联防力量救援，负责消防器材、消防系统的启用并保障其正常运行。</w:t>
      </w:r>
    </w:p>
    <w:p>
      <w:pPr>
        <w:pStyle w:val="124"/>
        <w:ind w:firstLine="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（5）负责保障事故现场、周边灾区的抢救。</w:t>
      </w:r>
    </w:p>
    <w:p>
      <w:pPr>
        <w:pStyle w:val="124"/>
        <w:ind w:firstLine="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（6）组长负责全组责任分工，统筹全组应急任务的开展。</w:t>
      </w:r>
    </w:p>
    <w:p>
      <w:pPr>
        <w:pStyle w:val="124"/>
        <w:ind w:firstLine="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（7）配合上级政府应急救援组织开展应急救援工作。</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医疗卫生组主要职责</w:t>
      </w:r>
    </w:p>
    <w:p>
      <w:pPr>
        <w:pStyle w:val="124"/>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负责组织医疗急救药品，并组建现场救治医疗队伍，负责对伤员进行现场救治及转送工作。</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技术组主要职责</w:t>
      </w:r>
    </w:p>
    <w:p>
      <w:pPr>
        <w:pStyle w:val="124"/>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负责组织技术人员依据图纸资料，结合事故性质及救护队侦察的灾情实际，尽快提出事故应急救援方案，并根据救援现场情况变化及时修改、补充。</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后勤组主要职责</w:t>
      </w:r>
    </w:p>
    <w:p>
      <w:pPr>
        <w:pStyle w:val="124"/>
        <w:ind w:firstLine="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负责事故现场周边交通管制和疏导，引导外部救援车辆进入医院，确保救援交通顺畅，维持现场秩序。负责筹措调集应急救援所需的交通工具、器材、通信、设备、设施、材料等物资供应，并按应急救援办公室要求送到指定地点。</w:t>
      </w:r>
    </w:p>
    <w:p>
      <w:pPr>
        <w:pStyle w:val="124"/>
        <w:ind w:firstLine="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（1）负责警戒区域内重点目标，重点部门的安全保卫。</w:t>
      </w:r>
    </w:p>
    <w:p>
      <w:pPr>
        <w:pStyle w:val="124"/>
        <w:ind w:firstLine="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（2）负责警戒区域的治安巡查。</w:t>
      </w:r>
    </w:p>
    <w:p>
      <w:pPr>
        <w:pStyle w:val="124"/>
        <w:ind w:firstLine="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（3）接到报警后，维持医院道路交通秩序，引导外来救援力量进入事故发生点，严禁外来人员入院围观。</w:t>
      </w:r>
    </w:p>
    <w:p>
      <w:pPr>
        <w:pStyle w:val="124"/>
        <w:ind w:firstLine="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（4）维持员工疏散集合地的治安秩序。</w:t>
      </w:r>
    </w:p>
    <w:p>
      <w:pPr>
        <w:pStyle w:val="124"/>
        <w:ind w:firstLine="56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（5）配合上级政府应急救援组织开展应急救援工作。</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通信交通组主要职责</w:t>
      </w:r>
    </w:p>
    <w:p>
      <w:pPr>
        <w:ind w:firstLine="480"/>
        <w:rPr>
          <w:rFonts w:ascii="Times New Roman" w:hAnsi="Times New Roman" w:eastAsia="仿宋"/>
          <w:bCs/>
          <w:iCs/>
          <w:color w:val="000000" w:themeColor="text1"/>
          <w:sz w:val="28"/>
          <w:szCs w:val="28"/>
          <w:lang w:bidi="en-US"/>
          <w14:textFill>
            <w14:solidFill>
              <w14:schemeClr w14:val="tx1"/>
            </w14:solidFill>
          </w14:textFill>
        </w:rPr>
      </w:pPr>
      <w:r>
        <w:rPr>
          <w:rFonts w:hint="eastAsia" w:ascii="Times New Roman" w:hAnsi="Times New Roman" w:eastAsia="仿宋"/>
          <w:bCs/>
          <w:iCs/>
          <w:color w:val="000000" w:themeColor="text1"/>
          <w:sz w:val="28"/>
          <w:szCs w:val="28"/>
          <w:lang w:bidi="en-US"/>
          <w14:textFill>
            <w14:solidFill>
              <w14:schemeClr w14:val="tx1"/>
            </w14:solidFill>
          </w14:textFill>
        </w:rPr>
        <w:t>负责保障交通工具的正常使用、通信通畅。</w:t>
      </w:r>
    </w:p>
    <w:p>
      <w:pPr>
        <w:pStyle w:val="136"/>
        <w:rPr>
          <w:color w:val="000000" w:themeColor="text1"/>
          <w14:textFill>
            <w14:solidFill>
              <w14:schemeClr w14:val="tx1"/>
            </w14:solidFill>
          </w14:textFill>
        </w:rPr>
      </w:pPr>
      <w:r>
        <w:rPr>
          <w:rFonts w:hint="eastAsia"/>
          <w:color w:val="000000" w:themeColor="text1"/>
          <w14:textFill>
            <w14:solidFill>
              <w14:schemeClr w14:val="tx1"/>
            </w14:solidFill>
          </w14:textFill>
        </w:rPr>
        <w:t>相关人员职责</w:t>
      </w:r>
    </w:p>
    <w:p>
      <w:pPr>
        <w:pStyle w:val="124"/>
        <w:numPr>
          <w:ilvl w:val="0"/>
          <w:numId w:val="1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总经理：是处理事故的全权指挥者。在总工程师和救护队队长的协助下，按照事故应急救援预案开展应急救援工作，制定和落实营救遇险人员和处理事故的作战计划。</w:t>
      </w:r>
    </w:p>
    <w:p>
      <w:pPr>
        <w:pStyle w:val="124"/>
        <w:numPr>
          <w:ilvl w:val="0"/>
          <w:numId w:val="1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总工程师：是经理处理灾变的第一助手。在经理领导下，组织制定营救遇险人员和事故处理的实施计划；及时掌握灾区变化情况，决定撤出人员的范围，根据事故发展趋势采取应急措施。 </w:t>
      </w:r>
    </w:p>
    <w:p>
      <w:pPr>
        <w:pStyle w:val="124"/>
        <w:numPr>
          <w:ilvl w:val="0"/>
          <w:numId w:val="1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书记：协助经理开展应急救援工作，协调各单位及部门关系，提高救援工作的协同配合效率，做好后勤保障和人员安置工作。 </w:t>
      </w:r>
    </w:p>
    <w:p>
      <w:pPr>
        <w:pStyle w:val="124"/>
        <w:numPr>
          <w:ilvl w:val="0"/>
          <w:numId w:val="1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生产助理：及时调集救灾所必须的设备、材料。做好救灾后勤保障工作；协调处理遇难人员的善后处理。</w:t>
      </w:r>
    </w:p>
    <w:p>
      <w:pPr>
        <w:pStyle w:val="124"/>
        <w:numPr>
          <w:ilvl w:val="0"/>
          <w:numId w:val="1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部门经理：根据批准的实施计划及《规程》相关规定，对抢险救灾工作的安全和厂区人员进行控制，实行有效的监督；事后组织相关人员对事故原因进行调查、分析。负责组织处理事故所必需的应急救援队伍，听从经理命令，组织指挥现场抢险救灾。</w:t>
      </w:r>
    </w:p>
    <w:p>
      <w:pPr>
        <w:pStyle w:val="124"/>
        <w:numPr>
          <w:ilvl w:val="0"/>
          <w:numId w:val="14"/>
        </w:numPr>
        <w:ind w:firstLineChars="0"/>
        <w:rPr>
          <w:color w:val="000000" w:themeColor="text1"/>
          <w14:textFill>
            <w14:solidFill>
              <w14:schemeClr w14:val="tx1"/>
            </w14:solidFill>
          </w14:textFill>
        </w:rPr>
      </w:pPr>
      <w:r>
        <w:rPr>
          <w:rFonts w:hint="eastAsia"/>
          <w:color w:val="000000" w:themeColor="text1"/>
          <w14:textFill>
            <w14:solidFill>
              <w14:schemeClr w14:val="tx1"/>
            </w14:solidFill>
          </w14:textFill>
        </w:rPr>
        <w:t xml:space="preserve">各车间负责人、门卫：根据经理命令，负责某一方面应急救援工作，在现场指挥抢救等。参与救灾方案的讨论并及时提供图纸资料、有关技术数据，积极提出救灾意见，协助好营救工作，为技术负责人决策提供意见，并负责制定防止事故扩大的措施。 </w:t>
      </w:r>
    </w:p>
    <w:p>
      <w:pPr>
        <w:pStyle w:val="124"/>
        <w:ind w:firstLine="560"/>
        <w:rPr>
          <w:color w:val="000000" w:themeColor="text1"/>
          <w14:textFill>
            <w14:solidFill>
              <w14:schemeClr w14:val="tx1"/>
            </w14:solidFill>
          </w14:textFill>
        </w:rPr>
      </w:pPr>
    </w:p>
    <w:p>
      <w:pPr>
        <w:pStyle w:val="131"/>
      </w:pPr>
      <w:bookmarkStart w:id="130" w:name="_Toc23828"/>
      <w:bookmarkStart w:id="131" w:name="_Toc8434"/>
      <w:bookmarkStart w:id="132" w:name="_Toc463949094"/>
      <w:bookmarkStart w:id="133" w:name="_Toc505945704"/>
      <w:r>
        <w:rPr>
          <w:rFonts w:hint="eastAsia"/>
        </w:rPr>
        <w:t>外部指挥与协调</w:t>
      </w:r>
      <w:bookmarkEnd w:id="129"/>
      <w:bookmarkEnd w:id="130"/>
      <w:bookmarkEnd w:id="131"/>
      <w:bookmarkEnd w:id="132"/>
      <w:bookmarkEnd w:id="133"/>
    </w:p>
    <w:p>
      <w:pPr>
        <w:pStyle w:val="124"/>
        <w:ind w:firstLine="560"/>
        <w:rPr>
          <w:sz w:val="21"/>
          <w:szCs w:val="21"/>
        </w:rPr>
      </w:pPr>
      <w:r>
        <w:rPr>
          <w:rFonts w:hint="eastAsia"/>
        </w:rPr>
        <w:t>参考《</w:t>
      </w:r>
      <w:r>
        <w:t>突发环境事件信息报告办法</w:t>
      </w:r>
      <w:r>
        <w:rPr>
          <w:rFonts w:hint="eastAsia"/>
        </w:rPr>
        <w:t>》中相关规定，</w:t>
      </w:r>
      <w:r>
        <w:t>当发生突发环境事件时，</w:t>
      </w:r>
      <w:r>
        <w:rPr>
          <w:rFonts w:hint="eastAsia"/>
          <w:lang w:eastAsia="zh-CN"/>
        </w:rPr>
        <w:t>确定突发环境事件等级后，</w:t>
      </w:r>
      <w:r>
        <w:rPr>
          <w:rFonts w:hint="eastAsia"/>
        </w:rPr>
        <w:t>新疆福克油品股份有限公司设置专人负责联络汇报（总指挥），配合</w:t>
      </w:r>
      <w:r>
        <w:t>各级及其有关部门的应急处置工作。</w:t>
      </w:r>
      <w:r>
        <w:rPr>
          <w:rFonts w:hint="eastAsia"/>
        </w:rPr>
        <w:t>具体为：</w:t>
      </w:r>
    </w:p>
    <w:p>
      <w:pPr>
        <w:pStyle w:val="124"/>
        <w:ind w:firstLine="560"/>
      </w:pPr>
      <w:r>
        <w:rPr>
          <w:rFonts w:hint="eastAsia"/>
        </w:rPr>
        <w:t>公司内事故报警方式采用内部电话和外部电话（包括手机、座机、对讲机等）线路进行报警，由指挥部根据事态情况通过公司通讯系统向公司内部发布事故消息，做出紧急疏散和撤离等警报。需要向社会和周边发布警报时，由指挥部人员向政府以及周边单位发送警报消息。事态严重紧急时，通过指挥部直接联系政府以及周边单位负责人，由总指挥亲自向政府或负责人发布消息，提出要求组织撤离疏散或者请求援助，随时保持电话联系。</w:t>
      </w:r>
    </w:p>
    <w:p>
      <w:pPr>
        <w:pStyle w:val="124"/>
        <w:ind w:firstLine="560"/>
      </w:pPr>
      <w:r>
        <w:rPr>
          <w:rFonts w:hint="eastAsia"/>
        </w:rPr>
        <w:t>公司应急救援人员之间采用内部和外部电话（包括手机、座机、对讲机等）线路进行联系，应急救援小组的电话必须24小时开机，禁止随意更换电话号码。特殊情况下，电话号码发生变更，必须在变更之日起24小时内向行政部报告。行政部必须在24小时内向各成员和部门发布变更通知。</w:t>
      </w:r>
    </w:p>
    <w:p>
      <w:pPr>
        <w:pStyle w:val="124"/>
        <w:ind w:firstLine="560"/>
      </w:pPr>
      <w:r>
        <w:rPr>
          <w:rFonts w:hint="eastAsia"/>
        </w:rPr>
        <w:t>事故发生后向主管部门和当地人民政府报告事故信息的流程、内容和时限为：</w:t>
      </w:r>
    </w:p>
    <w:p>
      <w:pPr>
        <w:pStyle w:val="124"/>
        <w:ind w:firstLine="560"/>
      </w:pPr>
      <w:r>
        <w:rPr>
          <w:rFonts w:hint="eastAsia"/>
        </w:rPr>
        <w:t>（1）事故发生后，事故现场有关人员应当立即向应急指挥组组长报告；应急指挥组组长接到报告后，应当于1小时内以电话方式向乌市</w:t>
      </w:r>
      <w:r>
        <w:rPr>
          <w:rFonts w:hint="eastAsia"/>
          <w:lang w:eastAsia="zh-CN"/>
        </w:rPr>
        <w:t>生态环境局</w:t>
      </w:r>
      <w:r>
        <w:rPr>
          <w:rFonts w:hint="eastAsia"/>
        </w:rPr>
        <w:t>和头区工业园区报告。</w:t>
      </w:r>
    </w:p>
    <w:p>
      <w:pPr>
        <w:pStyle w:val="124"/>
        <w:ind w:firstLine="560"/>
      </w:pPr>
      <w:r>
        <w:rPr>
          <w:rFonts w:hint="eastAsia"/>
        </w:rPr>
        <w:t>（2）报告事故应当包括下列内容：</w:t>
      </w:r>
      <w:r>
        <w:rPr>
          <w:rFonts w:hint="eastAsia"/>
        </w:rPr>
        <w:br w:type="textWrapping"/>
      </w:r>
      <w:r>
        <w:rPr>
          <w:rFonts w:hint="eastAsia"/>
        </w:rPr>
        <w:t xml:space="preserve">　   </w:t>
      </w: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事故发生单位概况；</w:t>
      </w:r>
      <w:r>
        <w:rPr>
          <w:rFonts w:hint="eastAsia"/>
        </w:rPr>
        <w:br w:type="textWrapping"/>
      </w:r>
      <w:r>
        <w:rPr>
          <w:rFonts w:hint="eastAsia"/>
        </w:rPr>
        <w:t xml:space="preserve">　   </w:t>
      </w: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事故发生的时间、地点以及事故现场情况；</w:t>
      </w:r>
      <w:r>
        <w:rPr>
          <w:rFonts w:hint="eastAsia"/>
        </w:rPr>
        <w:br w:type="textWrapping"/>
      </w:r>
      <w:r>
        <w:rPr>
          <w:rFonts w:hint="eastAsia"/>
        </w:rPr>
        <w:t>　 　</w:t>
      </w: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事故的简要经过；</w:t>
      </w:r>
      <w:r>
        <w:rPr>
          <w:rFonts w:hint="eastAsia"/>
        </w:rPr>
        <w:br w:type="textWrapping"/>
      </w:r>
      <w:r>
        <w:rPr>
          <w:rFonts w:hint="eastAsia"/>
        </w:rPr>
        <w:t xml:space="preserve">　   </w:t>
      </w: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事故已经造成或者可能造成的伤亡人数（包括下落不明的人数）和初步估计的直接经济损失；</w:t>
      </w:r>
      <w:r>
        <w:rPr>
          <w:rFonts w:hint="eastAsia"/>
        </w:rPr>
        <w:br w:type="textWrapping"/>
      </w:r>
      <w:r>
        <w:rPr>
          <w:rFonts w:hint="eastAsia"/>
        </w:rPr>
        <w:t xml:space="preserve">　　 </w:t>
      </w: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已经采取的措施；</w:t>
      </w:r>
      <w:r>
        <w:rPr>
          <w:rFonts w:hint="eastAsia"/>
        </w:rPr>
        <w:br w:type="textWrapping"/>
      </w:r>
      <w:r>
        <w:rPr>
          <w:rFonts w:hint="eastAsia"/>
        </w:rPr>
        <w:t xml:space="preserve">　　 </w:t>
      </w:r>
      <w:r>
        <w:fldChar w:fldCharType="begin"/>
      </w:r>
      <w:r>
        <w:instrText xml:space="preserve"> </w:instrText>
      </w:r>
      <w:r>
        <w:rPr>
          <w:rFonts w:hint="eastAsia"/>
        </w:rPr>
        <w:instrText xml:space="preserve">= 6 \* GB3</w:instrText>
      </w:r>
      <w:r>
        <w:instrText xml:space="preserve"> </w:instrText>
      </w:r>
      <w:r>
        <w:fldChar w:fldCharType="separate"/>
      </w:r>
      <w:r>
        <w:rPr>
          <w:rFonts w:hint="eastAsia"/>
        </w:rPr>
        <w:t>⑥</w:t>
      </w:r>
      <w:r>
        <w:fldChar w:fldCharType="end"/>
      </w:r>
      <w:r>
        <w:rPr>
          <w:rFonts w:hint="eastAsia"/>
        </w:rPr>
        <w:t xml:space="preserve">其他应当报告的情况。 </w:t>
      </w:r>
    </w:p>
    <w:p>
      <w:pPr>
        <w:pStyle w:val="124"/>
        <w:ind w:firstLine="560"/>
      </w:pPr>
      <w:r>
        <w:rPr>
          <w:rFonts w:hint="eastAsia"/>
        </w:rPr>
        <w:t>（3）事故报告后出现新情况的，应当及时补报。</w:t>
      </w:r>
      <w:r>
        <w:rPr>
          <w:rFonts w:hint="eastAsia"/>
        </w:rPr>
        <w:br w:type="textWrapping"/>
      </w:r>
      <w:r>
        <w:rPr>
          <w:rFonts w:hint="eastAsia"/>
        </w:rPr>
        <w:t>　　自事故发生之日起30日内，事故造成的伤亡人数及污染程度发生变化的，应当及时补报。道路交通事故、火灾等事故自发生之日起7日内，事故造成的伤亡人数发生变化的，应当及时补报。</w:t>
      </w:r>
    </w:p>
    <w:p>
      <w:pPr>
        <w:pStyle w:val="124"/>
        <w:ind w:firstLine="560"/>
      </w:pPr>
      <w:r>
        <w:t>突发环境事件处置过程中事件级别发生变化的，应当按照变化后的级别报告信息。</w:t>
      </w:r>
    </w:p>
    <w:p>
      <w:pPr>
        <w:pStyle w:val="124"/>
        <w:ind w:firstLine="560"/>
      </w:pPr>
      <w:r>
        <w:rPr>
          <w:rFonts w:hint="eastAsia"/>
        </w:rPr>
        <w:t>企业外部与应急救援工作相关联的单位及人员通讯联系方式见表4-</w:t>
      </w:r>
      <w:r>
        <w:rPr>
          <w:rFonts w:hint="eastAsia"/>
          <w:lang w:val="en-US" w:eastAsia="zh-CN"/>
        </w:rPr>
        <w:t>2</w:t>
      </w:r>
      <w:r>
        <w:rPr>
          <w:rFonts w:hint="eastAsia"/>
        </w:rPr>
        <w:t>。</w:t>
      </w:r>
      <w:r>
        <w:t>　</w:t>
      </w:r>
    </w:p>
    <w:p>
      <w:pPr>
        <w:pStyle w:val="139"/>
        <w:keepNext w:val="0"/>
        <w:keepLines w:val="0"/>
        <w:pageBreakBefore w:val="0"/>
        <w:widowControl w:val="0"/>
        <w:kinsoku/>
        <w:wordWrap/>
        <w:overflowPunct/>
        <w:topLinePunct w:val="0"/>
        <w:autoSpaceDE/>
        <w:autoSpaceDN/>
        <w:bidi w:val="0"/>
        <w:adjustRightInd/>
        <w:snapToGrid/>
        <w:spacing w:before="0" w:after="0" w:afterLines="0" w:line="240" w:lineRule="auto"/>
        <w:ind w:left="0" w:leftChars="0" w:right="0" w:rightChars="0" w:firstLine="482" w:firstLineChars="0"/>
        <w:jc w:val="center"/>
        <w:textAlignment w:val="auto"/>
        <w:outlineLvl w:val="9"/>
        <w:rPr>
          <w:rFonts w:hint="eastAsia"/>
          <w:lang w:eastAsia="zh-CN"/>
        </w:rPr>
      </w:pPr>
      <w:r>
        <w:rPr>
          <w:rStyle w:val="141"/>
          <w:rFonts w:hint="eastAsia" w:ascii="仿宋" w:hAnsi="仿宋" w:eastAsia="仿宋" w:cs="仿宋"/>
          <w:b w:val="0"/>
          <w:bCs/>
        </w:rPr>
        <w:t>表4-</w:t>
      </w:r>
      <w:r>
        <w:rPr>
          <w:rStyle w:val="141"/>
          <w:rFonts w:hint="eastAsia" w:ascii="仿宋" w:hAnsi="仿宋" w:cs="仿宋"/>
          <w:b w:val="0"/>
          <w:bCs/>
          <w:lang w:val="en-US" w:eastAsia="zh-CN"/>
        </w:rPr>
        <w:t>2</w:t>
      </w:r>
      <w:r>
        <w:rPr>
          <w:rFonts w:hint="eastAsia" w:ascii="仿宋" w:hAnsi="仿宋" w:eastAsia="仿宋" w:cs="仿宋"/>
          <w:b w:val="0"/>
          <w:bCs/>
        </w:rPr>
        <w:t xml:space="preserve">   应急救援工作相关联的单位或人员通讯联系方式</w:t>
      </w:r>
    </w:p>
    <w:tbl>
      <w:tblPr>
        <w:tblStyle w:val="41"/>
        <w:tblpPr w:leftFromText="180" w:rightFromText="180" w:vertAnchor="text" w:horzAnchor="page" w:tblpX="1648" w:tblpY="52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
        <w:gridCol w:w="4224"/>
        <w:gridCol w:w="2739"/>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8" w:hRule="atLeast"/>
        </w:trPr>
        <w:tc>
          <w:tcPr>
            <w:tcW w:w="488" w:type="dxa"/>
            <w:tcBorders>
              <w:top w:val="single" w:color="auto" w:sz="4" w:space="0"/>
              <w:left w:val="single" w:color="auto" w:sz="4" w:space="0"/>
              <w:bottom w:val="single" w:color="auto" w:sz="4" w:space="0"/>
              <w:right w:val="single" w:color="auto" w:sz="4" w:space="0"/>
            </w:tcBorders>
            <w:vAlign w:val="center"/>
          </w:tcPr>
          <w:p>
            <w:pPr>
              <w:ind w:left="0" w:leftChars="0" w:firstLine="0" w:firstLineChars="0"/>
              <w:rPr>
                <w:rFonts w:hint="eastAsia" w:ascii="仿宋" w:hAnsi="仿宋" w:eastAsia="仿宋" w:cs="仿宋"/>
                <w:sz w:val="21"/>
                <w:szCs w:val="21"/>
              </w:rPr>
            </w:pPr>
            <w:r>
              <w:rPr>
                <w:rFonts w:hint="eastAsia" w:ascii="仿宋" w:hAnsi="仿宋" w:eastAsia="仿宋" w:cs="仿宋"/>
                <w:sz w:val="21"/>
                <w:szCs w:val="21"/>
              </w:rPr>
              <w:t>序号</w:t>
            </w:r>
          </w:p>
        </w:tc>
        <w:tc>
          <w:tcPr>
            <w:tcW w:w="4224"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名  称</w:t>
            </w:r>
          </w:p>
        </w:tc>
        <w:tc>
          <w:tcPr>
            <w:tcW w:w="2739"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电话</w:t>
            </w:r>
          </w:p>
        </w:tc>
        <w:tc>
          <w:tcPr>
            <w:tcW w:w="1791" w:type="dxa"/>
            <w:tcBorders>
              <w:top w:val="single" w:color="auto" w:sz="4" w:space="0"/>
              <w:left w:val="single" w:color="auto" w:sz="4" w:space="0"/>
              <w:bottom w:val="single" w:color="auto" w:sz="4" w:space="0"/>
              <w:right w:val="single" w:color="auto" w:sz="4" w:space="0"/>
            </w:tcBorders>
            <w:vAlign w:val="center"/>
          </w:tcPr>
          <w:p>
            <w:pPr>
              <w:rPr>
                <w:rFonts w:hint="eastAsia" w:ascii="仿宋" w:hAnsi="仿宋" w:eastAsia="仿宋" w:cs="仿宋"/>
                <w:sz w:val="21"/>
                <w:szCs w:val="21"/>
              </w:rPr>
            </w:pPr>
            <w:r>
              <w:rPr>
                <w:rFonts w:hint="eastAsia" w:ascii="仿宋" w:hAnsi="仿宋" w:eastAsia="仿宋" w:cs="仿宋"/>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1"/>
                <w:szCs w:val="21"/>
              </w:rPr>
            </w:pPr>
            <w:r>
              <w:rPr>
                <w:rFonts w:hint="eastAsia" w:ascii="仿宋" w:hAnsi="仿宋" w:eastAsia="仿宋" w:cs="仿宋"/>
                <w:sz w:val="21"/>
                <w:szCs w:val="21"/>
              </w:rPr>
              <w:t>1</w:t>
            </w:r>
          </w:p>
        </w:tc>
        <w:tc>
          <w:tcPr>
            <w:tcW w:w="422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1"/>
                <w:szCs w:val="21"/>
              </w:rPr>
            </w:pPr>
            <w:r>
              <w:rPr>
                <w:rFonts w:hint="eastAsia" w:ascii="仿宋" w:hAnsi="仿宋" w:eastAsia="仿宋" w:cs="仿宋"/>
                <w:sz w:val="21"/>
                <w:szCs w:val="21"/>
              </w:rPr>
              <w:t>燃气公司客服电话</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0991-3963002</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1"/>
                <w:szCs w:val="21"/>
              </w:rPr>
            </w:pPr>
            <w:r>
              <w:rPr>
                <w:rFonts w:hint="eastAsia" w:ascii="仿宋" w:hAnsi="仿宋" w:eastAsia="仿宋" w:cs="仿宋"/>
                <w:sz w:val="21"/>
                <w:szCs w:val="21"/>
              </w:rPr>
              <w:t>2</w:t>
            </w:r>
          </w:p>
        </w:tc>
        <w:tc>
          <w:tcPr>
            <w:tcW w:w="422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1"/>
                <w:szCs w:val="21"/>
              </w:rPr>
            </w:pPr>
            <w:r>
              <w:rPr>
                <w:rFonts w:hint="eastAsia" w:ascii="仿宋" w:hAnsi="仿宋" w:eastAsia="仿宋" w:cs="仿宋"/>
                <w:sz w:val="21"/>
                <w:szCs w:val="21"/>
              </w:rPr>
              <w:t>水业集团客服电话</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0991-3871070</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1"/>
                <w:szCs w:val="21"/>
              </w:rPr>
            </w:pPr>
            <w:r>
              <w:rPr>
                <w:rFonts w:hint="eastAsia" w:ascii="仿宋" w:hAnsi="仿宋" w:eastAsia="仿宋" w:cs="仿宋"/>
                <w:sz w:val="21"/>
                <w:szCs w:val="21"/>
              </w:rPr>
              <w:t>3</w:t>
            </w:r>
          </w:p>
        </w:tc>
        <w:tc>
          <w:tcPr>
            <w:tcW w:w="422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1"/>
                <w:szCs w:val="21"/>
              </w:rPr>
            </w:pPr>
            <w:r>
              <w:rPr>
                <w:rFonts w:hint="eastAsia" w:ascii="仿宋" w:hAnsi="仿宋" w:eastAsia="仿宋" w:cs="仿宋"/>
                <w:sz w:val="21"/>
                <w:szCs w:val="21"/>
              </w:rPr>
              <w:t>电力公司客服电话</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0991-2916367</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1"/>
                <w:szCs w:val="21"/>
              </w:rPr>
            </w:pPr>
            <w:r>
              <w:rPr>
                <w:rFonts w:hint="eastAsia" w:ascii="仿宋" w:hAnsi="仿宋" w:eastAsia="仿宋" w:cs="仿宋"/>
                <w:sz w:val="21"/>
                <w:szCs w:val="21"/>
              </w:rPr>
              <w:t>4</w:t>
            </w:r>
          </w:p>
        </w:tc>
        <w:tc>
          <w:tcPr>
            <w:tcW w:w="422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1"/>
                <w:szCs w:val="21"/>
              </w:rPr>
            </w:pPr>
            <w:r>
              <w:rPr>
                <w:rFonts w:hint="eastAsia" w:ascii="仿宋" w:hAnsi="仿宋" w:eastAsia="仿宋" w:cs="仿宋"/>
                <w:sz w:val="21"/>
                <w:szCs w:val="21"/>
              </w:rPr>
              <w:t>匪警</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110</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1"/>
                <w:szCs w:val="21"/>
              </w:rPr>
            </w:pPr>
            <w:r>
              <w:rPr>
                <w:rFonts w:hint="eastAsia" w:ascii="仿宋" w:hAnsi="仿宋" w:eastAsia="仿宋" w:cs="仿宋"/>
                <w:sz w:val="21"/>
                <w:szCs w:val="21"/>
              </w:rPr>
              <w:t>5</w:t>
            </w:r>
          </w:p>
        </w:tc>
        <w:tc>
          <w:tcPr>
            <w:tcW w:w="422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1"/>
                <w:szCs w:val="21"/>
              </w:rPr>
            </w:pPr>
            <w:r>
              <w:rPr>
                <w:rFonts w:hint="eastAsia" w:ascii="仿宋" w:hAnsi="仿宋" w:eastAsia="仿宋" w:cs="仿宋"/>
                <w:sz w:val="21"/>
                <w:szCs w:val="21"/>
              </w:rPr>
              <w:t>火警</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119</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1"/>
                <w:szCs w:val="21"/>
              </w:rPr>
            </w:pPr>
            <w:r>
              <w:rPr>
                <w:rFonts w:hint="eastAsia" w:ascii="仿宋" w:hAnsi="仿宋" w:eastAsia="仿宋" w:cs="仿宋"/>
                <w:sz w:val="21"/>
                <w:szCs w:val="21"/>
              </w:rPr>
              <w:t>6</w:t>
            </w:r>
          </w:p>
        </w:tc>
        <w:tc>
          <w:tcPr>
            <w:tcW w:w="422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1"/>
                <w:szCs w:val="21"/>
              </w:rPr>
            </w:pPr>
            <w:r>
              <w:rPr>
                <w:rFonts w:hint="eastAsia" w:ascii="仿宋" w:hAnsi="仿宋" w:eastAsia="仿宋" w:cs="仿宋"/>
                <w:sz w:val="21"/>
                <w:szCs w:val="21"/>
              </w:rPr>
              <w:t>交通肇事</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122</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1"/>
                <w:szCs w:val="21"/>
              </w:rPr>
            </w:pPr>
            <w:r>
              <w:rPr>
                <w:rFonts w:hint="eastAsia" w:ascii="仿宋" w:hAnsi="仿宋" w:eastAsia="仿宋" w:cs="仿宋"/>
                <w:sz w:val="21"/>
                <w:szCs w:val="21"/>
              </w:rPr>
              <w:t>7</w:t>
            </w:r>
          </w:p>
        </w:tc>
        <w:tc>
          <w:tcPr>
            <w:tcW w:w="422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1"/>
                <w:szCs w:val="21"/>
              </w:rPr>
            </w:pPr>
            <w:r>
              <w:rPr>
                <w:rFonts w:hint="eastAsia" w:ascii="仿宋" w:hAnsi="仿宋" w:eastAsia="仿宋" w:cs="仿宋"/>
                <w:sz w:val="21"/>
                <w:szCs w:val="21"/>
              </w:rPr>
              <w:t>急救中心</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120</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1"/>
                <w:szCs w:val="21"/>
              </w:rPr>
            </w:pPr>
            <w:r>
              <w:rPr>
                <w:rFonts w:hint="eastAsia" w:ascii="仿宋" w:hAnsi="仿宋" w:eastAsia="仿宋" w:cs="仿宋"/>
                <w:sz w:val="21"/>
                <w:szCs w:val="21"/>
              </w:rPr>
              <w:t>8</w:t>
            </w:r>
          </w:p>
        </w:tc>
        <w:tc>
          <w:tcPr>
            <w:tcW w:w="422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1"/>
                <w:szCs w:val="21"/>
              </w:rPr>
            </w:pPr>
            <w:r>
              <w:rPr>
                <w:rFonts w:hint="eastAsia" w:ascii="仿宋" w:hAnsi="仿宋" w:eastAsia="仿宋" w:cs="仿宋"/>
                <w:sz w:val="21"/>
                <w:szCs w:val="21"/>
              </w:rPr>
              <w:t>本单位24小时值班电话</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0991-3930410</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1"/>
                <w:szCs w:val="21"/>
              </w:rPr>
            </w:pPr>
            <w:r>
              <w:rPr>
                <w:rFonts w:hint="eastAsia" w:ascii="仿宋" w:hAnsi="仿宋" w:eastAsia="仿宋" w:cs="仿宋"/>
                <w:sz w:val="21"/>
                <w:szCs w:val="21"/>
              </w:rPr>
              <w:t>10</w:t>
            </w:r>
          </w:p>
        </w:tc>
        <w:tc>
          <w:tcPr>
            <w:tcW w:w="422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1"/>
                <w:szCs w:val="21"/>
              </w:rPr>
            </w:pPr>
            <w:r>
              <w:rPr>
                <w:rFonts w:hint="eastAsia" w:ascii="仿宋" w:hAnsi="仿宋" w:eastAsia="仿宋" w:cs="仿宋"/>
                <w:sz w:val="21"/>
                <w:szCs w:val="21"/>
              </w:rPr>
              <w:t>乌昌路街道办事处</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0991-3922949</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13999806678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1"/>
                <w:szCs w:val="21"/>
              </w:rPr>
            </w:pPr>
            <w:r>
              <w:rPr>
                <w:rFonts w:hint="eastAsia" w:ascii="仿宋" w:hAnsi="仿宋" w:eastAsia="仿宋" w:cs="仿宋"/>
                <w:sz w:val="21"/>
                <w:szCs w:val="21"/>
              </w:rPr>
              <w:t>11</w:t>
            </w:r>
          </w:p>
        </w:tc>
        <w:tc>
          <w:tcPr>
            <w:tcW w:w="422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1"/>
                <w:szCs w:val="21"/>
              </w:rPr>
            </w:pPr>
            <w:r>
              <w:rPr>
                <w:rFonts w:hint="eastAsia" w:ascii="仿宋" w:hAnsi="仿宋" w:eastAsia="仿宋" w:cs="仿宋"/>
                <w:sz w:val="21"/>
                <w:szCs w:val="21"/>
              </w:rPr>
              <w:t>乌鲁木齐火车西站医院</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0991-3101837</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1"/>
                <w:szCs w:val="21"/>
              </w:rPr>
            </w:pPr>
            <w:r>
              <w:rPr>
                <w:rFonts w:hint="eastAsia" w:ascii="仿宋" w:hAnsi="仿宋" w:eastAsia="仿宋" w:cs="仿宋"/>
                <w:sz w:val="21"/>
                <w:szCs w:val="21"/>
              </w:rPr>
              <w:t>12</w:t>
            </w:r>
          </w:p>
        </w:tc>
        <w:tc>
          <w:tcPr>
            <w:tcW w:w="422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1"/>
                <w:szCs w:val="21"/>
              </w:rPr>
            </w:pPr>
            <w:r>
              <w:rPr>
                <w:rFonts w:hint="eastAsia" w:ascii="仿宋" w:hAnsi="仿宋" w:eastAsia="仿宋" w:cs="仿宋"/>
                <w:sz w:val="21"/>
                <w:szCs w:val="21"/>
              </w:rPr>
              <w:t>乌鲁木齐市安全生产应急救援指挥中心</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2833914（白天）</w:t>
            </w:r>
          </w:p>
          <w:p>
            <w:pPr>
              <w:jc w:val="center"/>
              <w:rPr>
                <w:rFonts w:hint="eastAsia" w:ascii="仿宋" w:hAnsi="仿宋" w:eastAsia="仿宋" w:cs="仿宋"/>
                <w:sz w:val="21"/>
                <w:szCs w:val="21"/>
              </w:rPr>
            </w:pPr>
            <w:r>
              <w:rPr>
                <w:rFonts w:hint="eastAsia" w:ascii="仿宋" w:hAnsi="仿宋" w:eastAsia="仿宋" w:cs="仿宋"/>
                <w:sz w:val="21"/>
                <w:szCs w:val="21"/>
              </w:rPr>
              <w:t>2840914（白天）</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rPr>
              <w:t>2822086（晚上）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1"/>
                <w:szCs w:val="21"/>
              </w:rPr>
            </w:pPr>
            <w:r>
              <w:rPr>
                <w:rFonts w:hint="eastAsia" w:ascii="仿宋" w:hAnsi="仿宋" w:eastAsia="仿宋" w:cs="仿宋"/>
                <w:sz w:val="21"/>
                <w:szCs w:val="21"/>
              </w:rPr>
              <w:t>13</w:t>
            </w:r>
          </w:p>
        </w:tc>
        <w:tc>
          <w:tcPr>
            <w:tcW w:w="422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1"/>
                <w:szCs w:val="21"/>
              </w:rPr>
            </w:pPr>
            <w:r>
              <w:rPr>
                <w:rFonts w:hint="eastAsia" w:ascii="仿宋" w:hAnsi="仿宋" w:eastAsia="仿宋" w:cs="仿宋"/>
                <w:sz w:val="21"/>
                <w:szCs w:val="21"/>
              </w:rPr>
              <w:t>经济开发区工业园派出所报警电话</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0991-</w:t>
            </w:r>
            <w:r>
              <w:rPr>
                <w:rFonts w:hint="eastAsia" w:ascii="仿宋" w:hAnsi="仿宋" w:eastAsia="仿宋" w:cs="仿宋"/>
                <w:sz w:val="21"/>
                <w:szCs w:val="21"/>
              </w:rPr>
              <w:t>8729110</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cs="仿宋"/>
                <w:sz w:val="21"/>
                <w:szCs w:val="21"/>
              </w:rPr>
            </w:pPr>
            <w:r>
              <w:rPr>
                <w:rFonts w:hint="eastAsia" w:ascii="仿宋" w:hAnsi="仿宋" w:eastAsia="仿宋" w:cs="仿宋"/>
                <w:sz w:val="21"/>
                <w:szCs w:val="21"/>
              </w:rPr>
              <w:t>14</w:t>
            </w:r>
          </w:p>
        </w:tc>
        <w:tc>
          <w:tcPr>
            <w:tcW w:w="422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乌鲁木齐市</w:t>
            </w:r>
            <w:r>
              <w:rPr>
                <w:rFonts w:hint="eastAsia" w:ascii="仿宋" w:hAnsi="仿宋" w:eastAsia="仿宋" w:cs="仿宋"/>
                <w:sz w:val="21"/>
                <w:szCs w:val="21"/>
              </w:rPr>
              <w:t>应急</w:t>
            </w:r>
            <w:r>
              <w:rPr>
                <w:rFonts w:hint="eastAsia" w:ascii="仿宋" w:hAnsi="仿宋" w:eastAsia="仿宋" w:cs="仿宋"/>
                <w:sz w:val="21"/>
                <w:szCs w:val="21"/>
                <w:lang w:eastAsia="zh-CN"/>
              </w:rPr>
              <w:t>管理局</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r>
              <w:rPr>
                <w:rFonts w:hint="eastAsia" w:ascii="仿宋" w:hAnsi="仿宋" w:eastAsia="仿宋" w:cs="仿宋"/>
                <w:sz w:val="21"/>
                <w:szCs w:val="21"/>
                <w:lang w:val="en-US" w:eastAsia="zh-CN"/>
              </w:rPr>
              <w:t>0991-2822086</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15</w:t>
            </w:r>
          </w:p>
        </w:tc>
        <w:tc>
          <w:tcPr>
            <w:tcW w:w="4224" w:type="dxa"/>
            <w:tcBorders>
              <w:top w:val="single" w:color="auto" w:sz="4" w:space="0"/>
              <w:left w:val="single" w:color="auto" w:sz="4" w:space="0"/>
              <w:bottom w:val="single" w:color="auto" w:sz="4" w:space="0"/>
              <w:right w:val="single" w:color="auto" w:sz="4" w:space="0"/>
            </w:tcBorders>
            <w:vAlign w:val="center"/>
          </w:tcPr>
          <w:p>
            <w:pPr>
              <w:jc w:val="both"/>
              <w:rPr>
                <w:rFonts w:hint="eastAsia" w:ascii="仿宋" w:hAnsi="仿宋" w:eastAsia="仿宋" w:cs="仿宋"/>
                <w:sz w:val="21"/>
                <w:szCs w:val="21"/>
                <w:lang w:eastAsia="zh-CN"/>
              </w:rPr>
            </w:pPr>
            <w:r>
              <w:rPr>
                <w:rFonts w:hint="eastAsia" w:ascii="仿宋" w:hAnsi="仿宋" w:eastAsia="仿宋" w:cs="仿宋"/>
                <w:sz w:val="21"/>
                <w:szCs w:val="21"/>
                <w:lang w:eastAsia="zh-CN"/>
              </w:rPr>
              <w:t>乌鲁木齐市</w:t>
            </w:r>
            <w:r>
              <w:rPr>
                <w:rFonts w:hint="eastAsia" w:ascii="仿宋" w:hAnsi="仿宋" w:eastAsia="仿宋" w:cs="仿宋"/>
                <w:sz w:val="21"/>
                <w:szCs w:val="21"/>
                <w:lang w:val="en-US" w:eastAsia="zh-CN"/>
              </w:rPr>
              <w:t>生态环境局</w:t>
            </w:r>
          </w:p>
        </w:tc>
        <w:tc>
          <w:tcPr>
            <w:tcW w:w="2739"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12369</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17</w:t>
            </w:r>
          </w:p>
        </w:tc>
        <w:tc>
          <w:tcPr>
            <w:tcW w:w="4224" w:type="dxa"/>
            <w:tcBorders>
              <w:top w:val="single" w:color="auto" w:sz="4" w:space="0"/>
              <w:left w:val="single" w:color="auto" w:sz="4" w:space="0"/>
              <w:bottom w:val="single" w:color="auto" w:sz="4" w:space="0"/>
              <w:right w:val="single" w:color="auto" w:sz="4" w:space="0"/>
            </w:tcBorders>
            <w:vAlign w:val="center"/>
          </w:tcPr>
          <w:p>
            <w:pPr>
              <w:pStyle w:val="143"/>
              <w:spacing w:line="300" w:lineRule="auto"/>
              <w:ind w:firstLine="0" w:firstLineChar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lang w:eastAsia="zh-CN"/>
              </w:rPr>
              <w:t>新疆天山羔羊生物制药产业园</w:t>
            </w:r>
          </w:p>
        </w:tc>
        <w:tc>
          <w:tcPr>
            <w:tcW w:w="2739" w:type="dxa"/>
            <w:tcBorders>
              <w:top w:val="single" w:color="auto" w:sz="4" w:space="0"/>
              <w:left w:val="single" w:color="auto" w:sz="4" w:space="0"/>
              <w:bottom w:val="single" w:color="auto" w:sz="4" w:space="0"/>
              <w:right w:val="single" w:color="auto" w:sz="4" w:space="0"/>
            </w:tcBorders>
            <w:vAlign w:val="top"/>
          </w:tcPr>
          <w:p>
            <w:pPr>
              <w:ind w:left="0" w:leftChars="0"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0991-3969658</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18</w:t>
            </w:r>
          </w:p>
        </w:tc>
        <w:tc>
          <w:tcPr>
            <w:tcW w:w="4224" w:type="dxa"/>
            <w:tcBorders>
              <w:top w:val="single" w:color="auto" w:sz="4" w:space="0"/>
              <w:left w:val="single" w:color="auto" w:sz="4" w:space="0"/>
              <w:bottom w:val="single" w:color="auto" w:sz="4" w:space="0"/>
              <w:right w:val="single" w:color="auto" w:sz="4" w:space="0"/>
            </w:tcBorders>
            <w:vAlign w:val="center"/>
          </w:tcPr>
          <w:p>
            <w:pPr>
              <w:pStyle w:val="143"/>
              <w:spacing w:line="300" w:lineRule="auto"/>
              <w:ind w:firstLine="0" w:firstLineChar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lang w:eastAsia="zh-CN"/>
              </w:rPr>
              <w:t>四方锅炉有限公司</w:t>
            </w:r>
          </w:p>
        </w:tc>
        <w:tc>
          <w:tcPr>
            <w:tcW w:w="2739" w:type="dxa"/>
            <w:tcBorders>
              <w:top w:val="single" w:color="auto" w:sz="4" w:space="0"/>
              <w:left w:val="single" w:color="auto" w:sz="4" w:space="0"/>
              <w:bottom w:val="single" w:color="auto" w:sz="4" w:space="0"/>
              <w:right w:val="single" w:color="auto" w:sz="4" w:space="0"/>
            </w:tcBorders>
            <w:vAlign w:val="top"/>
          </w:tcPr>
          <w:p>
            <w:pPr>
              <w:ind w:left="0" w:leftChars="0"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0991-3968238</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19</w:t>
            </w:r>
          </w:p>
        </w:tc>
        <w:tc>
          <w:tcPr>
            <w:tcW w:w="4224" w:type="dxa"/>
            <w:tcBorders>
              <w:top w:val="single" w:color="auto" w:sz="4" w:space="0"/>
              <w:left w:val="single" w:color="auto" w:sz="4" w:space="0"/>
              <w:bottom w:val="single" w:color="auto" w:sz="4" w:space="0"/>
              <w:right w:val="single" w:color="auto" w:sz="4" w:space="0"/>
            </w:tcBorders>
            <w:vAlign w:val="center"/>
          </w:tcPr>
          <w:p>
            <w:pPr>
              <w:pStyle w:val="143"/>
              <w:spacing w:line="300" w:lineRule="auto"/>
              <w:ind w:firstLine="0" w:firstLineChar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lang w:eastAsia="zh-CN"/>
              </w:rPr>
              <w:t>新疆众鑫赢再生资源有限公司</w:t>
            </w:r>
          </w:p>
        </w:tc>
        <w:tc>
          <w:tcPr>
            <w:tcW w:w="2739" w:type="dxa"/>
            <w:tcBorders>
              <w:top w:val="single" w:color="auto" w:sz="4" w:space="0"/>
              <w:left w:val="single" w:color="auto" w:sz="4" w:space="0"/>
              <w:bottom w:val="single" w:color="auto" w:sz="4" w:space="0"/>
              <w:right w:val="single" w:color="auto" w:sz="4" w:space="0"/>
            </w:tcBorders>
            <w:vAlign w:val="top"/>
          </w:tcPr>
          <w:p>
            <w:pPr>
              <w:ind w:left="0" w:leftChars="0"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0991-2330032</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488" w:type="dxa"/>
            <w:tcBorders>
              <w:top w:val="single" w:color="auto" w:sz="4" w:space="0"/>
              <w:left w:val="single" w:color="auto" w:sz="4" w:space="0"/>
              <w:bottom w:val="single" w:color="auto" w:sz="4" w:space="0"/>
              <w:right w:val="single" w:color="auto" w:sz="4" w:space="0"/>
            </w:tcBorders>
            <w:vAlign w:val="center"/>
          </w:tcPr>
          <w:p>
            <w:pPr>
              <w:jc w:val="left"/>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20</w:t>
            </w:r>
          </w:p>
        </w:tc>
        <w:tc>
          <w:tcPr>
            <w:tcW w:w="4224" w:type="dxa"/>
            <w:tcBorders>
              <w:top w:val="single" w:color="auto" w:sz="4" w:space="0"/>
              <w:left w:val="single" w:color="auto" w:sz="4" w:space="0"/>
              <w:bottom w:val="single" w:color="auto" w:sz="4" w:space="0"/>
              <w:right w:val="single" w:color="auto" w:sz="4" w:space="0"/>
            </w:tcBorders>
            <w:vAlign w:val="center"/>
          </w:tcPr>
          <w:p>
            <w:pPr>
              <w:pStyle w:val="143"/>
              <w:spacing w:line="300" w:lineRule="auto"/>
              <w:ind w:firstLine="0" w:firstLineChars="0"/>
              <w:jc w:val="both"/>
              <w:rPr>
                <w:rFonts w:hint="eastAsia" w:ascii="仿宋" w:hAnsi="仿宋" w:eastAsia="仿宋" w:cs="仿宋"/>
                <w:color w:val="000000"/>
                <w:kern w:val="2"/>
                <w:sz w:val="21"/>
                <w:szCs w:val="21"/>
                <w:lang w:val="en-US" w:eastAsia="zh-CN" w:bidi="ar-SA"/>
              </w:rPr>
            </w:pPr>
            <w:r>
              <w:rPr>
                <w:rFonts w:hint="eastAsia" w:ascii="仿宋" w:hAnsi="仿宋" w:eastAsia="仿宋" w:cs="仿宋"/>
                <w:lang w:eastAsia="zh-CN"/>
              </w:rPr>
              <w:t>新疆金雪驰科技股份有限公司</w:t>
            </w:r>
          </w:p>
        </w:tc>
        <w:tc>
          <w:tcPr>
            <w:tcW w:w="2739" w:type="dxa"/>
            <w:tcBorders>
              <w:top w:val="single" w:color="auto" w:sz="4" w:space="0"/>
              <w:left w:val="single" w:color="auto" w:sz="4" w:space="0"/>
              <w:bottom w:val="single" w:color="auto" w:sz="4" w:space="0"/>
              <w:right w:val="single" w:color="auto" w:sz="4" w:space="0"/>
            </w:tcBorders>
            <w:vAlign w:val="top"/>
          </w:tcPr>
          <w:p>
            <w:pPr>
              <w:ind w:left="0" w:leftChars="0" w:firstLine="0" w:firstLineChars="0"/>
              <w:jc w:val="center"/>
              <w:rPr>
                <w:rFonts w:hint="eastAsia" w:ascii="仿宋" w:hAnsi="仿宋" w:eastAsia="仿宋" w:cs="仿宋"/>
                <w:color w:val="000000"/>
                <w:kern w:val="2"/>
                <w:sz w:val="21"/>
                <w:szCs w:val="21"/>
                <w:lang w:val="en-US" w:eastAsia="zh-CN" w:bidi="ar-SA"/>
              </w:rPr>
            </w:pPr>
            <w:r>
              <w:rPr>
                <w:rFonts w:hint="eastAsia" w:ascii="仿宋" w:hAnsi="仿宋" w:eastAsia="仿宋" w:cs="仿宋"/>
                <w:color w:val="000000"/>
                <w:sz w:val="21"/>
                <w:szCs w:val="21"/>
                <w:lang w:val="en-US" w:eastAsia="zh-CN"/>
              </w:rPr>
              <w:t>0991-3963809</w:t>
            </w:r>
          </w:p>
        </w:tc>
        <w:tc>
          <w:tcPr>
            <w:tcW w:w="1791"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cs="仿宋"/>
                <w:sz w:val="21"/>
                <w:szCs w:val="21"/>
              </w:rPr>
            </w:pPr>
          </w:p>
        </w:tc>
      </w:tr>
    </w:tbl>
    <w:p>
      <w:pPr>
        <w:pStyle w:val="139"/>
        <w:spacing w:after="48"/>
        <w:ind w:firstLine="482"/>
      </w:pPr>
    </w:p>
    <w:p>
      <w:pPr>
        <w:pStyle w:val="43"/>
        <w:ind w:firstLine="883"/>
      </w:pPr>
      <w:bookmarkStart w:id="134" w:name="_Toc4993"/>
      <w:bookmarkStart w:id="135" w:name="_Toc505945705"/>
      <w:bookmarkStart w:id="136" w:name="_Toc25881"/>
      <w:bookmarkStart w:id="137" w:name="_Toc20414"/>
      <w:bookmarkStart w:id="138" w:name="_Toc22156"/>
      <w:r>
        <w:rPr>
          <w:rFonts w:hint="eastAsia"/>
        </w:rPr>
        <w:t>预防与预警</w:t>
      </w:r>
      <w:bookmarkEnd w:id="134"/>
      <w:bookmarkEnd w:id="135"/>
      <w:bookmarkEnd w:id="136"/>
      <w:bookmarkEnd w:id="137"/>
      <w:bookmarkEnd w:id="138"/>
    </w:p>
    <w:p>
      <w:pPr>
        <w:pStyle w:val="131"/>
      </w:pPr>
      <w:bookmarkStart w:id="139" w:name="_Toc505945706"/>
      <w:bookmarkStart w:id="140" w:name="_Toc30165"/>
      <w:bookmarkStart w:id="141" w:name="_Toc27086"/>
      <w:r>
        <w:rPr>
          <w:rFonts w:hint="eastAsia"/>
        </w:rPr>
        <w:t>环境风险</w:t>
      </w:r>
      <w:r>
        <w:t>源监控</w:t>
      </w:r>
      <w:bookmarkEnd w:id="139"/>
      <w:bookmarkEnd w:id="140"/>
      <w:bookmarkEnd w:id="141"/>
    </w:p>
    <w:p>
      <w:pPr>
        <w:pStyle w:val="124"/>
        <w:ind w:firstLine="560"/>
        <w:rPr>
          <w:rFonts w:hint="eastAsia"/>
        </w:rPr>
      </w:pPr>
      <w:r>
        <w:rPr>
          <w:rFonts w:hint="eastAsia"/>
        </w:rPr>
        <w:t>新疆福克油品股份有限公司可能涉及的危害因素进行识别并进行风险评价，对评价出的风险因素编制具体的管理方案或控制措施。新疆福克油品股份有限公司实施过程中按管理方案或控制措施进行实施，并对实施效果进行监控。</w:t>
      </w:r>
    </w:p>
    <w:p>
      <w:pPr>
        <w:pStyle w:val="124"/>
        <w:ind w:firstLine="560"/>
        <w:rPr>
          <w:rFonts w:hint="eastAsia"/>
        </w:rPr>
      </w:pPr>
      <w:r>
        <w:rPr>
          <w:rFonts w:hint="eastAsia"/>
        </w:rPr>
        <w:t>1、建立健全各项规章制度，风险源的重点监控制度、主要设备的安全操作规程、岗位操作制度、值班制度、巡回检查制度、各类考核奖惩制度等；</w:t>
      </w:r>
    </w:p>
    <w:p>
      <w:pPr>
        <w:pStyle w:val="124"/>
        <w:ind w:firstLine="560"/>
        <w:rPr>
          <w:rFonts w:hint="eastAsia"/>
        </w:rPr>
      </w:pPr>
      <w:r>
        <w:rPr>
          <w:rFonts w:hint="eastAsia"/>
        </w:rPr>
        <w:t>2、操作人员应严格按照工艺操作规程进行操作，防止因操作不当、操作失误造成事故扩大；</w:t>
      </w:r>
    </w:p>
    <w:p>
      <w:pPr>
        <w:pStyle w:val="124"/>
        <w:ind w:firstLine="560"/>
        <w:rPr>
          <w:rFonts w:hint="eastAsia"/>
        </w:rPr>
      </w:pPr>
      <w:r>
        <w:rPr>
          <w:rFonts w:hint="eastAsia"/>
          <w:lang w:val="en-US" w:eastAsia="zh-CN"/>
        </w:rPr>
        <w:t>3</w:t>
      </w:r>
      <w:r>
        <w:rPr>
          <w:rFonts w:hint="eastAsia"/>
        </w:rPr>
        <w:t>、配备合格的机电维修人员，认真落实工作人员责任制，对机械设备执行定期检修，确保设备的良好运行状态；</w:t>
      </w:r>
    </w:p>
    <w:p>
      <w:pPr>
        <w:pStyle w:val="124"/>
        <w:ind w:firstLine="560"/>
        <w:rPr>
          <w:rFonts w:hint="eastAsia"/>
        </w:rPr>
      </w:pPr>
      <w:r>
        <w:rPr>
          <w:rFonts w:hint="eastAsia"/>
          <w:lang w:val="en-US" w:eastAsia="zh-CN"/>
        </w:rPr>
        <w:t>4</w:t>
      </w:r>
      <w:r>
        <w:rPr>
          <w:rFonts w:hint="eastAsia"/>
        </w:rPr>
        <w:t>、根据巡回检查制度，厂区管理人员定时进行巡查，查看环保设施运行情况，确认设备工作状态</w:t>
      </w:r>
    </w:p>
    <w:p>
      <w:pPr>
        <w:pStyle w:val="131"/>
      </w:pPr>
      <w:bookmarkStart w:id="142" w:name="_Toc29526"/>
      <w:bookmarkStart w:id="143" w:name="_Toc505945707"/>
      <w:bookmarkStart w:id="144" w:name="_Toc31173"/>
      <w:bookmarkStart w:id="145" w:name="_Toc463949097"/>
      <w:r>
        <w:rPr>
          <w:rFonts w:hint="eastAsia"/>
          <w:lang w:val="en-US" w:eastAsia="zh-CN"/>
        </w:rPr>
        <w:t>环境风险防范措施</w:t>
      </w:r>
      <w:bookmarkEnd w:id="142"/>
      <w:bookmarkEnd w:id="143"/>
      <w:bookmarkEnd w:id="144"/>
    </w:p>
    <w:p>
      <w:pPr>
        <w:pStyle w:val="124"/>
        <w:ind w:firstLine="560"/>
        <w:rPr>
          <w:rFonts w:hint="eastAsia"/>
        </w:rPr>
      </w:pPr>
      <w:r>
        <w:rPr>
          <w:rFonts w:hint="eastAsia"/>
        </w:rPr>
        <w:t>新疆福克油品股份有限公司采取了一</w:t>
      </w:r>
      <w:r>
        <w:rPr>
          <w:rFonts w:hint="eastAsia"/>
          <w:lang w:val="en-US" w:eastAsia="zh-CN"/>
        </w:rPr>
        <w:t>些</w:t>
      </w:r>
      <w:r>
        <w:rPr>
          <w:rFonts w:hint="eastAsia"/>
        </w:rPr>
        <w:t>风险防控措施，如在主要危险源场所均设置明显的安全警示标志，重点关键部位设置摄像头监控</w:t>
      </w:r>
      <w:r>
        <w:rPr>
          <w:rFonts w:hint="eastAsia"/>
          <w:lang w:val="en-US" w:eastAsia="zh-CN"/>
        </w:rPr>
        <w:t>等措施</w:t>
      </w:r>
      <w:r>
        <w:rPr>
          <w:rFonts w:hint="eastAsia"/>
        </w:rPr>
        <w:t>。</w:t>
      </w:r>
    </w:p>
    <w:p>
      <w:pPr>
        <w:pStyle w:val="124"/>
        <w:ind w:firstLine="560"/>
      </w:pPr>
      <w:r>
        <w:rPr>
          <w:rFonts w:hint="eastAsia"/>
        </w:rPr>
        <w:t>为了进一步做好突发环境事件的应对，防止伴生/次生污染的发生，我公司采取的主要预防措施如下：</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482" w:firstLineChars="0"/>
        <w:jc w:val="both"/>
        <w:textAlignment w:val="auto"/>
        <w:outlineLvl w:val="9"/>
        <w:rPr>
          <w:rFonts w:hint="eastAsia" w:ascii="Times New Roman" w:hAnsi="Times New Roman" w:eastAsia="仿宋" w:cs="黑体"/>
          <w:bCs/>
          <w:iCs/>
          <w:kern w:val="2"/>
          <w:sz w:val="28"/>
          <w:szCs w:val="28"/>
          <w:lang w:val="en-US" w:eastAsia="zh-CN" w:bidi="en-US"/>
        </w:rPr>
      </w:pPr>
      <w:r>
        <w:rPr>
          <w:rFonts w:hint="eastAsia" w:ascii="Times New Roman" w:hAnsi="Times New Roman" w:eastAsia="仿宋" w:cs="黑体"/>
          <w:bCs/>
          <w:iCs/>
          <w:kern w:val="2"/>
          <w:sz w:val="28"/>
          <w:szCs w:val="28"/>
          <w:lang w:val="en-US" w:eastAsia="zh-CN" w:bidi="en-US"/>
        </w:rPr>
        <w:t>（1）安排专人对厂区内各设施进行定期检查维护，保证设施正常运行或处于良好的待命状态。夜晚值班人员临时兼职总指挥职责，可随时应对各种突发环境事件，并将事故情况迅速通报给总指挥、现场指挥负责人。</w:t>
      </w:r>
    </w:p>
    <w:p>
      <w:pPr>
        <w:pStyle w:val="124"/>
        <w:ind w:firstLine="560"/>
      </w:pPr>
      <w:r>
        <w:rPr>
          <w:rFonts w:hint="eastAsia"/>
        </w:rPr>
        <w:t>（2）为全面提高应对突发环境事故能力，公司通过宣传画、宣传标语等形式进行传播。由应急救援办公室定期组织应急救援指挥人员进行系统培训；生产技术部应针对本预案的特定要求，负责对有关应急救援指挥人员进行培训。根据应急救援目标的特点，开展应急救援队伍的业务训练。对于需要多部门、多专业参与救援的预案，开展协同能力的训练。</w:t>
      </w:r>
    </w:p>
    <w:p>
      <w:pPr>
        <w:pStyle w:val="124"/>
        <w:ind w:firstLine="560"/>
        <w:rPr>
          <w:rFonts w:hint="eastAsia"/>
        </w:rPr>
      </w:pPr>
      <w:r>
        <w:rPr>
          <w:rFonts w:hint="eastAsia"/>
        </w:rPr>
        <w:t>（3）设立厂内急救指挥小组，并和当地事故应急救援部门建立正常联系，一旦出现事故能立刻采取有效救援措施。</w:t>
      </w:r>
    </w:p>
    <w:p>
      <w:pPr>
        <w:pStyle w:val="124"/>
        <w:ind w:firstLine="560"/>
        <w:rPr>
          <w:rFonts w:hint="eastAsia"/>
        </w:rPr>
      </w:pPr>
      <w:r>
        <w:rPr>
          <w:rFonts w:hint="eastAsia"/>
        </w:rPr>
        <w:t>（</w:t>
      </w:r>
      <w:r>
        <w:rPr>
          <w:rFonts w:hint="eastAsia"/>
          <w:lang w:val="en-US" w:eastAsia="zh-CN"/>
        </w:rPr>
        <w:t>4</w:t>
      </w:r>
      <w:r>
        <w:rPr>
          <w:rFonts w:hint="eastAsia"/>
        </w:rPr>
        <w:t>）</w:t>
      </w:r>
      <w:r>
        <w:rPr>
          <w:rFonts w:hint="eastAsia"/>
          <w:lang w:val="en-US" w:eastAsia="zh-CN"/>
        </w:rPr>
        <w:t>我公司</w:t>
      </w:r>
      <w:r>
        <w:rPr>
          <w:rFonts w:hint="eastAsia"/>
        </w:rPr>
        <w:t>合理储备了应急资源，做好了应急准备，主要包括：应急和救援队伍；配备应急救援中所必须的保障物资，确定保管单位对其定期检查、维护和更新，保证始终处于正常状态。</w:t>
      </w:r>
    </w:p>
    <w:p>
      <w:pPr>
        <w:pStyle w:val="124"/>
        <w:ind w:firstLine="560"/>
        <w:rPr>
          <w:rFonts w:hint="eastAsia"/>
        </w:rPr>
      </w:pPr>
    </w:p>
    <w:p>
      <w:pPr>
        <w:pStyle w:val="131"/>
      </w:pPr>
      <w:bookmarkStart w:id="146" w:name="_Toc8802"/>
      <w:bookmarkStart w:id="147" w:name="_Toc505945708"/>
      <w:bookmarkStart w:id="148" w:name="_Toc1527"/>
      <w:r>
        <w:rPr>
          <w:rFonts w:hint="eastAsia"/>
        </w:rPr>
        <w:t>预警</w:t>
      </w:r>
      <w:bookmarkEnd w:id="145"/>
      <w:bookmarkEnd w:id="146"/>
      <w:bookmarkEnd w:id="147"/>
      <w:bookmarkEnd w:id="148"/>
    </w:p>
    <w:p>
      <w:pPr>
        <w:pStyle w:val="132"/>
        <w:rPr>
          <w:rFonts w:hint="eastAsia"/>
          <w:lang w:val="en-US" w:eastAsia="zh-CN"/>
        </w:rPr>
      </w:pPr>
      <w:bookmarkStart w:id="149" w:name="_Toc11187"/>
      <w:bookmarkStart w:id="150" w:name="_Toc463949098"/>
      <w:bookmarkStart w:id="151" w:name="_Toc505945709"/>
      <w:bookmarkStart w:id="152" w:name="_Toc7642"/>
      <w:r>
        <w:rPr>
          <w:rFonts w:hint="eastAsia"/>
          <w:lang w:val="en-US" w:eastAsia="zh-CN"/>
        </w:rPr>
        <w:t>接警</w:t>
      </w:r>
      <w:bookmarkEnd w:id="149"/>
    </w:p>
    <w:p>
      <w:pPr>
        <w:pStyle w:val="11"/>
        <w:ind w:firstLine="480"/>
        <w:rPr>
          <w:rFonts w:hint="eastAsia" w:ascii="Times New Roman" w:hAnsi="Times New Roman" w:eastAsia="仿宋" w:cs="黑体"/>
          <w:bCs/>
          <w:iCs/>
          <w:kern w:val="2"/>
          <w:sz w:val="28"/>
          <w:szCs w:val="28"/>
          <w:lang w:val="en-US" w:eastAsia="zh-CN" w:bidi="en-US"/>
        </w:rPr>
      </w:pPr>
      <w:r>
        <w:rPr>
          <w:rFonts w:hint="eastAsia" w:ascii="Times New Roman" w:hAnsi="Times New Roman" w:eastAsia="仿宋" w:cs="黑体"/>
          <w:bCs/>
          <w:iCs/>
          <w:kern w:val="2"/>
          <w:sz w:val="28"/>
          <w:szCs w:val="28"/>
          <w:lang w:val="en-US" w:eastAsia="zh-CN" w:bidi="en-US"/>
        </w:rPr>
        <w:t>应急救援指挥办公室应通过各种正当途径，获取突发事件信息，包括但不限于以下途径。</w:t>
      </w:r>
    </w:p>
    <w:p>
      <w:pPr>
        <w:pStyle w:val="11"/>
        <w:ind w:firstLine="480"/>
        <w:rPr>
          <w:rFonts w:hint="eastAsia" w:ascii="Times New Roman" w:hAnsi="Times New Roman" w:eastAsia="仿宋" w:cs="黑体"/>
          <w:bCs/>
          <w:iCs/>
          <w:kern w:val="2"/>
          <w:sz w:val="28"/>
          <w:szCs w:val="28"/>
          <w:lang w:val="en-US" w:eastAsia="zh-CN" w:bidi="en-US"/>
        </w:rPr>
      </w:pPr>
      <w:r>
        <w:rPr>
          <w:rFonts w:hint="eastAsia" w:ascii="Times New Roman" w:hAnsi="Times New Roman" w:eastAsia="仿宋" w:cs="黑体"/>
          <w:bCs/>
          <w:iCs/>
          <w:kern w:val="2"/>
          <w:sz w:val="28"/>
          <w:szCs w:val="28"/>
          <w:lang w:val="en-US" w:eastAsia="zh-CN" w:bidi="en-US"/>
        </w:rPr>
        <w:t>1、通过政府新闻媒体公开发布的突发环境事件预警信息；</w:t>
      </w:r>
    </w:p>
    <w:p>
      <w:pPr>
        <w:pStyle w:val="11"/>
        <w:ind w:firstLine="480"/>
        <w:rPr>
          <w:rFonts w:hint="eastAsia" w:ascii="Times New Roman" w:hAnsi="Times New Roman" w:eastAsia="仿宋" w:cs="黑体"/>
          <w:bCs/>
          <w:iCs/>
          <w:kern w:val="2"/>
          <w:sz w:val="28"/>
          <w:szCs w:val="28"/>
          <w:lang w:val="en-US" w:eastAsia="zh-CN" w:bidi="en-US"/>
        </w:rPr>
      </w:pPr>
      <w:r>
        <w:rPr>
          <w:rFonts w:hint="eastAsia" w:ascii="Times New Roman" w:hAnsi="Times New Roman" w:eastAsia="仿宋" w:cs="黑体"/>
          <w:bCs/>
          <w:iCs/>
          <w:kern w:val="2"/>
          <w:sz w:val="28"/>
          <w:szCs w:val="28"/>
          <w:lang w:val="en-US" w:eastAsia="zh-CN" w:bidi="en-US"/>
        </w:rPr>
        <w:t>2、基层单位上报突发环境事件预警信息；</w:t>
      </w:r>
    </w:p>
    <w:p>
      <w:pPr>
        <w:pStyle w:val="11"/>
        <w:ind w:firstLine="480"/>
        <w:rPr>
          <w:rFonts w:hint="eastAsia" w:ascii="Times New Roman" w:hAnsi="Times New Roman" w:eastAsia="仿宋" w:cs="黑体"/>
          <w:bCs/>
          <w:iCs/>
          <w:kern w:val="2"/>
          <w:sz w:val="28"/>
          <w:szCs w:val="28"/>
          <w:lang w:val="en-US" w:eastAsia="zh-CN" w:bidi="en-US"/>
        </w:rPr>
      </w:pPr>
      <w:r>
        <w:rPr>
          <w:rFonts w:hint="eastAsia" w:ascii="Times New Roman" w:hAnsi="Times New Roman" w:eastAsia="仿宋" w:cs="黑体"/>
          <w:bCs/>
          <w:iCs/>
          <w:kern w:val="2"/>
          <w:sz w:val="28"/>
          <w:szCs w:val="28"/>
          <w:lang w:val="en-US" w:eastAsia="zh-CN" w:bidi="en-US"/>
        </w:rPr>
        <w:t>3、经风险分析或专业检查的评估得出的可能发生环境事件；</w:t>
      </w:r>
    </w:p>
    <w:p>
      <w:pPr>
        <w:pStyle w:val="11"/>
        <w:ind w:firstLine="480"/>
        <w:rPr>
          <w:rFonts w:hint="eastAsia" w:ascii="Times New Roman" w:hAnsi="Times New Roman" w:eastAsia="仿宋" w:cs="黑体"/>
          <w:bCs/>
          <w:iCs/>
          <w:kern w:val="2"/>
          <w:sz w:val="28"/>
          <w:szCs w:val="28"/>
          <w:lang w:val="en-US" w:eastAsia="zh-CN" w:bidi="en-US"/>
        </w:rPr>
      </w:pPr>
      <w:r>
        <w:rPr>
          <w:rFonts w:hint="eastAsia" w:ascii="Times New Roman" w:hAnsi="Times New Roman" w:eastAsia="仿宋" w:cs="黑体"/>
          <w:bCs/>
          <w:iCs/>
          <w:kern w:val="2"/>
          <w:sz w:val="28"/>
          <w:szCs w:val="28"/>
          <w:lang w:val="en-US" w:eastAsia="zh-CN" w:bidi="en-US"/>
        </w:rPr>
        <w:t>4、政府主管部门向厂应急领导小组办公室告知的预报信息；</w:t>
      </w:r>
    </w:p>
    <w:p>
      <w:pPr>
        <w:pStyle w:val="11"/>
        <w:ind w:firstLine="480"/>
        <w:rPr>
          <w:rFonts w:hint="eastAsia" w:ascii="Times New Roman" w:hAnsi="Times New Roman" w:eastAsia="仿宋" w:cs="黑体"/>
          <w:bCs/>
          <w:iCs/>
          <w:kern w:val="2"/>
          <w:sz w:val="28"/>
          <w:szCs w:val="28"/>
          <w:lang w:val="en-US" w:eastAsia="zh-CN" w:bidi="en-US"/>
        </w:rPr>
      </w:pPr>
      <w:r>
        <w:rPr>
          <w:rFonts w:hint="eastAsia" w:ascii="Times New Roman" w:hAnsi="Times New Roman" w:eastAsia="仿宋" w:cs="黑体"/>
          <w:bCs/>
          <w:iCs/>
          <w:kern w:val="2"/>
          <w:sz w:val="28"/>
          <w:szCs w:val="28"/>
          <w:lang w:val="en-US" w:eastAsia="zh-CN" w:bidi="en-US"/>
        </w:rPr>
        <w:t>5、监测分析显示有污染倾向。</w:t>
      </w:r>
    </w:p>
    <w:p>
      <w:pPr>
        <w:pStyle w:val="132"/>
        <w:rPr>
          <w:rFonts w:hint="eastAsia"/>
          <w:lang w:val="en-US" w:eastAsia="zh-CN"/>
        </w:rPr>
      </w:pPr>
      <w:bookmarkStart w:id="153" w:name="_Toc25848"/>
      <w:r>
        <w:rPr>
          <w:rFonts w:hint="eastAsia"/>
          <w:lang w:val="en-US" w:eastAsia="zh-CN"/>
        </w:rPr>
        <w:t>预警分级</w:t>
      </w:r>
      <w:bookmarkEnd w:id="153"/>
    </w:p>
    <w:p>
      <w:pPr>
        <w:pStyle w:val="124"/>
        <w:ind w:firstLine="560"/>
      </w:pPr>
      <w:r>
        <w:rPr>
          <w:rFonts w:hint="eastAsia"/>
        </w:rPr>
        <w:t>按照突发事件严重性、紧急程度和可能波及的范围，突发环境事件的预警分为四级，预警级别由低到高，颜色依次为</w:t>
      </w:r>
      <w:r>
        <w:rPr>
          <w:rFonts w:hint="eastAsia"/>
          <w:lang w:val="zh-CN"/>
        </w:rPr>
        <w:t>蓝色（Ⅳ级）、黄色（Ⅲ级）、橙色（Ⅱ级）、红色（Ⅰ级）</w:t>
      </w:r>
      <w:r>
        <w:rPr>
          <w:rFonts w:hint="eastAsia"/>
        </w:rPr>
        <w:t>。根据事态的发展情况 和采取措施的效果，预警颜色可以升级、降级或解除。</w:t>
      </w:r>
    </w:p>
    <w:p>
      <w:pPr>
        <w:pStyle w:val="132"/>
      </w:pPr>
      <w:bookmarkStart w:id="154" w:name="_Toc23920"/>
      <w:r>
        <w:rPr>
          <w:rFonts w:hint="eastAsia"/>
        </w:rPr>
        <w:t>预警条件</w:t>
      </w:r>
      <w:bookmarkEnd w:id="150"/>
      <w:bookmarkEnd w:id="151"/>
      <w:bookmarkEnd w:id="152"/>
      <w:bookmarkEnd w:id="154"/>
    </w:p>
    <w:p>
      <w:pPr>
        <w:pStyle w:val="124"/>
        <w:ind w:firstLine="560"/>
        <w:rPr>
          <w:rFonts w:hint="eastAsia"/>
          <w:lang w:val="zh-CN"/>
        </w:rPr>
      </w:pPr>
      <w:r>
        <w:rPr>
          <w:rFonts w:hint="eastAsia"/>
        </w:rPr>
        <w:t>1、</w:t>
      </w:r>
      <w:r>
        <w:rPr>
          <w:rFonts w:hint="eastAsia"/>
          <w:lang w:val="zh-CN"/>
        </w:rPr>
        <w:t>在危险源排查时发现存在可能造成人员伤亡、财产损失等严重后果的重大危险源时，应及时预警。</w:t>
      </w:r>
    </w:p>
    <w:p>
      <w:pPr>
        <w:pStyle w:val="124"/>
        <w:ind w:firstLine="560"/>
        <w:rPr>
          <w:rFonts w:hint="eastAsia"/>
          <w:lang w:val="zh-CN"/>
        </w:rPr>
      </w:pPr>
      <w:r>
        <w:rPr>
          <w:rFonts w:hint="eastAsia"/>
        </w:rPr>
        <w:t>2、</w:t>
      </w:r>
      <w:r>
        <w:rPr>
          <w:rFonts w:hint="eastAsia"/>
          <w:lang w:val="zh-CN"/>
        </w:rPr>
        <w:t>收到的环境信息证明突发环境事件即将发生或者发生的可能性增大时，立即进入预警状态，并启动突发环境事件应急预案。</w:t>
      </w:r>
    </w:p>
    <w:p>
      <w:pPr>
        <w:pStyle w:val="124"/>
        <w:ind w:firstLine="560"/>
        <w:rPr>
          <w:rFonts w:hint="eastAsia"/>
          <w:lang w:val="zh-CN"/>
        </w:rPr>
      </w:pPr>
      <w:r>
        <w:rPr>
          <w:rFonts w:hint="eastAsia"/>
        </w:rPr>
        <w:t>3、</w:t>
      </w:r>
      <w:r>
        <w:rPr>
          <w:rFonts w:hint="eastAsia"/>
          <w:lang w:val="zh-CN"/>
        </w:rPr>
        <w:t>发布预警公告须经上级</w:t>
      </w:r>
      <w:r>
        <w:rPr>
          <w:rFonts w:hint="eastAsia"/>
        </w:rPr>
        <w:t>单位和</w:t>
      </w:r>
      <w:r>
        <w:rPr>
          <w:rFonts w:hint="eastAsia"/>
          <w:lang w:eastAsia="zh-CN"/>
        </w:rPr>
        <w:t>公司</w:t>
      </w:r>
      <w:r>
        <w:rPr>
          <w:rFonts w:hint="eastAsia"/>
          <w:lang w:val="zh-CN"/>
        </w:rPr>
        <w:t>法人批准，预警公告的内容主要包括：突发环境事件名称、预警级别、预警区域或场所、预警期起止时间、影响估计、拟采取的应对措施和发布机关等。预警公告发布后，需要变更预警内容的应当及时发布变更公告。</w:t>
      </w:r>
    </w:p>
    <w:p>
      <w:pPr>
        <w:pStyle w:val="124"/>
        <w:ind w:firstLine="560"/>
      </w:pPr>
      <w:r>
        <w:rPr>
          <w:rFonts w:hint="eastAsia"/>
        </w:rPr>
        <w:t>根据本公司实际情况</w:t>
      </w:r>
      <w:r>
        <w:rPr>
          <w:rFonts w:hint="eastAsia"/>
          <w:lang w:eastAsia="zh-CN"/>
        </w:rPr>
        <w:t>，</w:t>
      </w:r>
      <w:r>
        <w:rPr>
          <w:rFonts w:hint="eastAsia"/>
        </w:rPr>
        <w:t>预警分级见下表：</w:t>
      </w:r>
    </w:p>
    <w:p>
      <w:pPr>
        <w:pStyle w:val="139"/>
        <w:spacing w:after="48"/>
        <w:jc w:val="center"/>
        <w:rPr>
          <w:rFonts w:hint="eastAsia" w:ascii="仿宋" w:hAnsi="仿宋" w:eastAsia="仿宋" w:cs="仿宋"/>
        </w:rPr>
      </w:pPr>
      <w:r>
        <w:rPr>
          <w:rFonts w:hint="eastAsia" w:ascii="仿宋" w:hAnsi="仿宋" w:eastAsia="仿宋" w:cs="仿宋"/>
        </w:rPr>
        <w:t>表5-1   新疆福克油品股份有限公司突发环境事件应急预案预警分级情况</w:t>
      </w:r>
    </w:p>
    <w:tbl>
      <w:tblPr>
        <w:tblStyle w:val="41"/>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6179"/>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4"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序号</w:t>
            </w:r>
          </w:p>
        </w:tc>
        <w:tc>
          <w:tcPr>
            <w:tcW w:w="6179"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对应的相关情形</w:t>
            </w:r>
          </w:p>
        </w:tc>
        <w:tc>
          <w:tcPr>
            <w:tcW w:w="1958"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事件分级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4"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1</w:t>
            </w:r>
          </w:p>
        </w:tc>
        <w:tc>
          <w:tcPr>
            <w:tcW w:w="6179" w:type="dxa"/>
            <w:shd w:val="clear" w:color="auto" w:fill="auto"/>
            <w:vAlign w:val="center"/>
          </w:tcPr>
          <w:p>
            <w:pPr>
              <w:spacing w:line="240" w:lineRule="auto"/>
              <w:ind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（1）天然气发生火灾爆炸、储油罐着火等环境污染突发事件造成3人以上死亡、10人以下死亡，中毒（重伤）50人以下的应急事件。</w:t>
            </w:r>
          </w:p>
          <w:p>
            <w:pPr>
              <w:spacing w:line="240" w:lineRule="auto"/>
              <w:ind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（2）其他事故发生后，后果有可能继续扩大的。</w:t>
            </w:r>
          </w:p>
          <w:p>
            <w:pPr>
              <w:pStyle w:val="174"/>
              <w:tabs>
                <w:tab w:val="center" w:pos="4153"/>
                <w:tab w:val="right" w:pos="8306"/>
              </w:tabs>
              <w:jc w:val="both"/>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）遇地震或洪水等特大自然灾害时。</w:t>
            </w:r>
          </w:p>
        </w:tc>
        <w:tc>
          <w:tcPr>
            <w:tcW w:w="1958"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特别重大（</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 1 \* ROMAN </w:instrText>
            </w:r>
            <w:r>
              <w:rPr>
                <w:rFonts w:hint="eastAsia" w:ascii="仿宋" w:hAnsi="仿宋" w:eastAsia="仿宋" w:cs="仿宋"/>
                <w:sz w:val="21"/>
                <w:szCs w:val="21"/>
              </w:rPr>
              <w:fldChar w:fldCharType="separate"/>
            </w:r>
            <w:r>
              <w:rPr>
                <w:rFonts w:hint="eastAsia" w:ascii="仿宋" w:hAnsi="仿宋" w:eastAsia="仿宋" w:cs="仿宋"/>
                <w:sz w:val="21"/>
                <w:szCs w:val="21"/>
              </w:rPr>
              <w:t>I</w:t>
            </w:r>
            <w:r>
              <w:rPr>
                <w:rFonts w:hint="eastAsia" w:ascii="仿宋" w:hAnsi="仿宋" w:eastAsia="仿宋" w:cs="仿宋"/>
                <w:sz w:val="21"/>
                <w:szCs w:val="21"/>
              </w:rPr>
              <w:fldChar w:fldCharType="end"/>
            </w:r>
            <w:r>
              <w:rPr>
                <w:rFonts w:hint="eastAsia" w:ascii="仿宋" w:hAnsi="仿宋" w:eastAsia="仿宋" w:cs="仿宋"/>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4"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2</w:t>
            </w:r>
          </w:p>
        </w:tc>
        <w:tc>
          <w:tcPr>
            <w:tcW w:w="6179" w:type="dxa"/>
            <w:vAlign w:val="center"/>
          </w:tcPr>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kern w:val="2"/>
                <w:sz w:val="21"/>
                <w:szCs w:val="21"/>
                <w:lang w:val="en-US" w:eastAsia="zh-CN" w:bidi="ar-SA"/>
              </w:rPr>
              <w:t>天然气发生火灾爆炸、储油罐着火</w:t>
            </w:r>
            <w:r>
              <w:rPr>
                <w:rFonts w:hint="eastAsia" w:ascii="仿宋" w:hAnsi="仿宋" w:eastAsia="仿宋" w:cs="仿宋"/>
                <w:sz w:val="21"/>
                <w:szCs w:val="21"/>
              </w:rPr>
              <w:t>等环境污染造成区域及周边区域500人以下疏散的应急事件。</w:t>
            </w:r>
          </w:p>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kern w:val="2"/>
                <w:sz w:val="21"/>
                <w:szCs w:val="21"/>
                <w:lang w:val="en-US" w:eastAsia="zh-CN" w:bidi="ar-SA"/>
              </w:rPr>
              <w:t>天然气发生火灾爆炸、储油罐着火</w:t>
            </w:r>
            <w:r>
              <w:rPr>
                <w:rFonts w:hint="eastAsia" w:ascii="仿宋" w:hAnsi="仿宋" w:eastAsia="仿宋" w:cs="仿宋"/>
                <w:sz w:val="21"/>
                <w:szCs w:val="21"/>
              </w:rPr>
              <w:t>等环境污染突发事件造成10人以下重伤的应急事件。</w:t>
            </w:r>
          </w:p>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（3）环境污染事件危害影响到周边地区、经自救、抢险或一般救援不能迅速予以控制，并有进一步扩大或发展趋势的污染事故。</w:t>
            </w:r>
          </w:p>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（4）遇地震、洪水等重大自然灾害时。</w:t>
            </w:r>
          </w:p>
          <w:p>
            <w:pPr>
              <w:pStyle w:val="2"/>
              <w:autoSpaceDE/>
              <w:autoSpaceDN/>
              <w:adjustRightInd/>
              <w:rPr>
                <w:rFonts w:hint="eastAsia" w:ascii="仿宋" w:hAnsi="仿宋" w:eastAsia="仿宋" w:cs="仿宋"/>
                <w:sz w:val="21"/>
                <w:szCs w:val="21"/>
              </w:rPr>
            </w:pPr>
            <w:r>
              <w:rPr>
                <w:rFonts w:hint="eastAsia" w:ascii="仿宋" w:hAnsi="仿宋" w:eastAsia="仿宋" w:cs="仿宋"/>
                <w:sz w:val="21"/>
                <w:szCs w:val="21"/>
              </w:rPr>
              <w:t>（5）项目区发生火灾产生有毒有害烟气，未出现进一步扩散的趋势。</w:t>
            </w:r>
          </w:p>
          <w:p>
            <w:pPr>
              <w:pStyle w:val="174"/>
              <w:tabs>
                <w:tab w:val="center" w:pos="4153"/>
                <w:tab w:val="right" w:pos="8306"/>
              </w:tabs>
              <w:jc w:val="both"/>
              <w:rPr>
                <w:rFonts w:hint="eastAsia" w:ascii="仿宋" w:hAnsi="仿宋" w:eastAsia="仿宋" w:cs="仿宋"/>
                <w:sz w:val="21"/>
                <w:szCs w:val="21"/>
              </w:rPr>
            </w:pPr>
            <w:r>
              <w:rPr>
                <w:rFonts w:hint="eastAsia" w:ascii="仿宋" w:hAnsi="仿宋" w:eastAsia="仿宋" w:cs="仿宋"/>
                <w:sz w:val="21"/>
                <w:szCs w:val="21"/>
              </w:rPr>
              <w:t>（6）Ⅲ、Ⅳ级事故发生后，后果有可能继续扩散的</w:t>
            </w:r>
          </w:p>
        </w:tc>
        <w:tc>
          <w:tcPr>
            <w:tcW w:w="1958"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重大（Ⅱ级）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4"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3</w:t>
            </w:r>
          </w:p>
        </w:tc>
        <w:tc>
          <w:tcPr>
            <w:tcW w:w="6179" w:type="dxa"/>
            <w:shd w:val="clear" w:color="auto" w:fill="auto"/>
            <w:vAlign w:val="center"/>
          </w:tcPr>
          <w:p>
            <w:pPr>
              <w:pStyle w:val="174"/>
              <w:tabs>
                <w:tab w:val="center" w:pos="4153"/>
                <w:tab w:val="right" w:pos="8306"/>
              </w:tabs>
              <w:jc w:val="left"/>
              <w:rPr>
                <w:rFonts w:hint="eastAsia" w:ascii="仿宋" w:hAnsi="仿宋" w:eastAsia="仿宋" w:cs="仿宋"/>
                <w:sz w:val="21"/>
                <w:szCs w:val="21"/>
              </w:rPr>
            </w:pPr>
            <w:r>
              <w:rPr>
                <w:rFonts w:hint="eastAsia" w:ascii="仿宋" w:hAnsi="仿宋" w:eastAsia="仿宋" w:cs="仿宋"/>
                <w:sz w:val="21"/>
                <w:szCs w:val="21"/>
              </w:rPr>
              <w:t>（1）天然气发生火灾爆炸、</w:t>
            </w:r>
            <w:r>
              <w:rPr>
                <w:rFonts w:hint="eastAsia" w:ascii="仿宋" w:hAnsi="仿宋" w:eastAsia="仿宋" w:cs="仿宋"/>
                <w:kern w:val="2"/>
                <w:sz w:val="21"/>
                <w:szCs w:val="21"/>
                <w:lang w:val="en-US" w:eastAsia="zh-CN" w:bidi="ar-SA"/>
              </w:rPr>
              <w:t>储油罐着火</w:t>
            </w:r>
            <w:r>
              <w:rPr>
                <w:rFonts w:hint="eastAsia" w:ascii="仿宋" w:hAnsi="仿宋" w:eastAsia="仿宋" w:cs="仿宋"/>
                <w:sz w:val="21"/>
                <w:szCs w:val="21"/>
              </w:rPr>
              <w:t>等环境污染造成人员出现严重伤害的</w:t>
            </w:r>
            <w:r>
              <w:rPr>
                <w:rFonts w:hint="eastAsia" w:ascii="仿宋" w:hAnsi="仿宋" w:cs="仿宋"/>
                <w:sz w:val="21"/>
                <w:szCs w:val="21"/>
                <w:lang w:val="en-US" w:eastAsia="zh-CN"/>
              </w:rPr>
              <w:t>.</w:t>
            </w:r>
          </w:p>
          <w:p>
            <w:pPr>
              <w:pStyle w:val="174"/>
              <w:tabs>
                <w:tab w:val="center" w:pos="4153"/>
                <w:tab w:val="right" w:pos="8306"/>
              </w:tabs>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cs="仿宋"/>
                <w:sz w:val="21"/>
                <w:szCs w:val="21"/>
                <w:lang w:val="en-US" w:eastAsia="zh-CN"/>
              </w:rPr>
              <w:t>2</w:t>
            </w:r>
            <w:r>
              <w:rPr>
                <w:rFonts w:hint="eastAsia" w:ascii="仿宋" w:hAnsi="仿宋" w:eastAsia="仿宋" w:cs="仿宋"/>
                <w:sz w:val="21"/>
                <w:szCs w:val="21"/>
              </w:rPr>
              <w:t>）仪器设备不能正常运行或出现故障；</w:t>
            </w:r>
          </w:p>
        </w:tc>
        <w:tc>
          <w:tcPr>
            <w:tcW w:w="1958"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较大（Ⅲ级）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4"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4</w:t>
            </w:r>
          </w:p>
        </w:tc>
        <w:tc>
          <w:tcPr>
            <w:tcW w:w="6179" w:type="dxa"/>
          </w:tcPr>
          <w:p>
            <w:pPr>
              <w:pStyle w:val="129"/>
              <w:numPr>
                <w:ilvl w:val="0"/>
                <w:numId w:val="10"/>
              </w:numPr>
              <w:tabs>
                <w:tab w:val="center" w:pos="4153"/>
                <w:tab w:val="right" w:pos="8306"/>
              </w:tabs>
              <w:jc w:val="left"/>
              <w:rPr>
                <w:rFonts w:hint="eastAsia" w:ascii="仿宋" w:hAnsi="仿宋" w:eastAsia="仿宋" w:cs="仿宋"/>
                <w:sz w:val="21"/>
                <w:szCs w:val="21"/>
              </w:rPr>
            </w:pPr>
            <w:r>
              <w:rPr>
                <w:rFonts w:hint="eastAsia" w:ascii="仿宋" w:hAnsi="仿宋" w:eastAsia="仿宋" w:cs="仿宋"/>
                <w:sz w:val="21"/>
                <w:szCs w:val="21"/>
              </w:rPr>
              <w:t>天然气发生</w:t>
            </w:r>
            <w:r>
              <w:rPr>
                <w:rFonts w:hint="eastAsia" w:ascii="仿宋" w:hAnsi="仿宋" w:cs="仿宋"/>
                <w:sz w:val="21"/>
                <w:szCs w:val="21"/>
                <w:lang w:eastAsia="zh-CN"/>
              </w:rPr>
              <w:t>泄漏</w:t>
            </w:r>
            <w:r>
              <w:rPr>
                <w:rFonts w:hint="eastAsia" w:ascii="仿宋" w:hAnsi="仿宋" w:eastAsia="仿宋" w:cs="仿宋"/>
                <w:sz w:val="21"/>
                <w:szCs w:val="21"/>
              </w:rPr>
              <w:t>、</w:t>
            </w:r>
            <w:r>
              <w:rPr>
                <w:rFonts w:hint="eastAsia" w:ascii="仿宋" w:hAnsi="仿宋" w:eastAsia="仿宋" w:cs="仿宋"/>
                <w:kern w:val="2"/>
                <w:sz w:val="21"/>
                <w:szCs w:val="21"/>
                <w:lang w:val="en-US" w:eastAsia="zh-CN" w:bidi="ar-SA"/>
              </w:rPr>
              <w:t>储油罐</w:t>
            </w:r>
            <w:r>
              <w:rPr>
                <w:rFonts w:hint="eastAsia" w:ascii="仿宋" w:hAnsi="仿宋" w:cs="仿宋"/>
                <w:kern w:val="2"/>
                <w:sz w:val="21"/>
                <w:szCs w:val="21"/>
                <w:lang w:val="en-US" w:eastAsia="zh-CN" w:bidi="ar-SA"/>
              </w:rPr>
              <w:t>泄漏</w:t>
            </w:r>
            <w:r>
              <w:rPr>
                <w:rFonts w:hint="eastAsia" w:ascii="仿宋" w:hAnsi="仿宋" w:eastAsia="仿宋" w:cs="仿宋"/>
                <w:sz w:val="21"/>
                <w:szCs w:val="21"/>
              </w:rPr>
              <w:t>等</w:t>
            </w:r>
            <w:r>
              <w:rPr>
                <w:rFonts w:hint="eastAsia" w:ascii="仿宋" w:hAnsi="仿宋" w:cs="仿宋"/>
                <w:sz w:val="21"/>
                <w:szCs w:val="21"/>
                <w:lang w:eastAsia="zh-CN"/>
              </w:rPr>
              <w:t>相关人员即可处置的泄露事故。</w:t>
            </w:r>
          </w:p>
          <w:p>
            <w:pPr>
              <w:pStyle w:val="129"/>
              <w:numPr>
                <w:ilvl w:val="0"/>
                <w:numId w:val="10"/>
              </w:numPr>
              <w:tabs>
                <w:tab w:val="center" w:pos="4153"/>
                <w:tab w:val="right" w:pos="8306"/>
              </w:tabs>
              <w:jc w:val="left"/>
              <w:rPr>
                <w:rFonts w:hint="eastAsia" w:ascii="仿宋" w:hAnsi="仿宋" w:eastAsia="仿宋" w:cs="仿宋"/>
                <w:sz w:val="21"/>
                <w:szCs w:val="21"/>
              </w:rPr>
            </w:pPr>
            <w:r>
              <w:rPr>
                <w:rFonts w:hint="eastAsia" w:ascii="仿宋" w:hAnsi="仿宋" w:eastAsia="仿宋" w:cs="仿宋"/>
                <w:sz w:val="21"/>
                <w:szCs w:val="21"/>
              </w:rPr>
              <w:t>仪器设备运行不达标时；</w:t>
            </w:r>
          </w:p>
        </w:tc>
        <w:tc>
          <w:tcPr>
            <w:tcW w:w="1958"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一般（Ⅳ级）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81" w:type="dxa"/>
            <w:gridSpan w:val="3"/>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注：上述各等级中凡符合所列情形之一的，即为对应的突发环境事件级别。</w:t>
            </w:r>
          </w:p>
        </w:tc>
      </w:tr>
    </w:tbl>
    <w:p>
      <w:pPr>
        <w:pStyle w:val="132"/>
      </w:pPr>
      <w:bookmarkStart w:id="155" w:name="_Toc463949099"/>
      <w:bookmarkStart w:id="156" w:name="_Toc505945710"/>
      <w:bookmarkStart w:id="157" w:name="_Toc3726"/>
      <w:bookmarkStart w:id="158" w:name="_Toc23393"/>
      <w:r>
        <w:rPr>
          <w:rFonts w:hint="eastAsia"/>
        </w:rPr>
        <w:t>预警</w:t>
      </w:r>
      <w:bookmarkEnd w:id="155"/>
      <w:bookmarkEnd w:id="156"/>
      <w:bookmarkEnd w:id="157"/>
      <w:r>
        <w:rPr>
          <w:rFonts w:hint="eastAsia"/>
        </w:rPr>
        <w:t>信息</w:t>
      </w:r>
      <w:r>
        <w:t>发布</w:t>
      </w:r>
      <w:bookmarkEnd w:id="158"/>
    </w:p>
    <w:p>
      <w:pPr>
        <w:pStyle w:val="124"/>
        <w:ind w:firstLine="560"/>
        <w:rPr>
          <w:rFonts w:hint="eastAsia"/>
        </w:rPr>
      </w:pPr>
      <w:r>
        <w:rPr>
          <w:rFonts w:hint="eastAsia"/>
        </w:rPr>
        <w:t>应急指挥部接到风险信息报告后，应组织召开应急会议，通过会议决定由应急办向</w:t>
      </w:r>
      <w:r>
        <w:rPr>
          <w:rFonts w:hint="eastAsia"/>
          <w:lang w:eastAsia="zh-CN"/>
        </w:rPr>
        <w:t>公司</w:t>
      </w:r>
      <w:r>
        <w:rPr>
          <w:rFonts w:hint="eastAsia"/>
        </w:rPr>
        <w:t>下属各部门，通过邮件、公示栏、短信息、黑板报、内部有线和无线通信等方式发布、调整和解除预测、预警信息，同时启动应急预案。需要当地人民政府进行预警的，经应急总指挥复核后再报请当地政府进行预警信息的发布、调整和解除等工作。</w:t>
      </w:r>
    </w:p>
    <w:p>
      <w:pPr>
        <w:pStyle w:val="124"/>
        <w:ind w:firstLine="560"/>
        <w:rPr>
          <w:rFonts w:hint="eastAsia"/>
        </w:rPr>
      </w:pPr>
      <w:bookmarkStart w:id="159" w:name="_Toc23625"/>
      <w:bookmarkStart w:id="160" w:name="_Toc505945711"/>
      <w:bookmarkStart w:id="161" w:name="_Toc463949100"/>
      <w:r>
        <w:rPr>
          <w:rFonts w:hint="eastAsia"/>
        </w:rPr>
        <w:t>（1）红色</w:t>
      </w:r>
      <w:r>
        <w:rPr>
          <w:rFonts w:hint="eastAsia"/>
          <w:lang w:val="en-US" w:eastAsia="zh-CN"/>
        </w:rPr>
        <w:t>和橙色</w:t>
      </w:r>
      <w:r>
        <w:rPr>
          <w:rFonts w:hint="eastAsia"/>
        </w:rPr>
        <w:t>预警发布：事故现场管理员发现异常情况后，立即电话报警给应急指挥部总指挥，总指挥立即电话上报给</w:t>
      </w:r>
      <w:r>
        <w:rPr>
          <w:rFonts w:hint="eastAsia"/>
          <w:lang w:eastAsia="zh-CN"/>
        </w:rPr>
        <w:t>乌鲁木齐头屯河区应急管理局，</w:t>
      </w:r>
      <w:r>
        <w:rPr>
          <w:rFonts w:hint="eastAsia"/>
          <w:lang w:val="en-US" w:eastAsia="zh-CN"/>
        </w:rPr>
        <w:t>乌鲁木齐市生态环境局和头屯河区工业园环保主管部门</w:t>
      </w:r>
      <w:r>
        <w:rPr>
          <w:rFonts w:hint="eastAsia"/>
        </w:rPr>
        <w:t>，同时给周边可能受到影响的单位进行预警通知；</w:t>
      </w:r>
    </w:p>
    <w:p>
      <w:pPr>
        <w:pStyle w:val="124"/>
        <w:ind w:firstLine="560"/>
        <w:rPr>
          <w:rFonts w:hint="eastAsia"/>
        </w:rPr>
      </w:pPr>
      <w:r>
        <w:rPr>
          <w:rFonts w:hint="eastAsia"/>
        </w:rPr>
        <w:t>（2）</w:t>
      </w:r>
      <w:r>
        <w:rPr>
          <w:rFonts w:hint="eastAsia"/>
          <w:lang w:val="en-US" w:eastAsia="zh-CN"/>
        </w:rPr>
        <w:t>黄</w:t>
      </w:r>
      <w:r>
        <w:rPr>
          <w:rFonts w:hint="eastAsia"/>
        </w:rPr>
        <w:t>色预警发布：事故现场管理员发现异常情况后，立即电话报应急指挥部总指挥，总指挥视实际情况决定是否报警给</w:t>
      </w:r>
      <w:r>
        <w:rPr>
          <w:rFonts w:hint="eastAsia"/>
          <w:lang w:val="en-US" w:eastAsia="zh-CN"/>
        </w:rPr>
        <w:t>乌鲁木齐市生态环境局和头屯河区工业园环保主管部门</w:t>
      </w:r>
      <w:r>
        <w:rPr>
          <w:rFonts w:hint="eastAsia"/>
        </w:rPr>
        <w:t>；</w:t>
      </w:r>
    </w:p>
    <w:p>
      <w:pPr>
        <w:pStyle w:val="124"/>
        <w:ind w:firstLine="560"/>
        <w:rPr>
          <w:rFonts w:hint="eastAsia"/>
        </w:rPr>
      </w:pPr>
      <w:r>
        <w:rPr>
          <w:rFonts w:hint="eastAsia"/>
        </w:rPr>
        <w:t>（3）</w:t>
      </w:r>
      <w:r>
        <w:rPr>
          <w:rFonts w:hint="eastAsia"/>
          <w:lang w:val="en-US" w:eastAsia="zh-CN"/>
        </w:rPr>
        <w:t>蓝</w:t>
      </w:r>
      <w:r>
        <w:rPr>
          <w:rFonts w:hint="eastAsia"/>
        </w:rPr>
        <w:t>色预警发布：事故现场管理员发现异常情况后，立即电话报警给应急指挥部总指挥。</w:t>
      </w:r>
      <w:r>
        <w:rPr>
          <w:rFonts w:hint="eastAsia"/>
          <w:lang w:val="en-US" w:eastAsia="zh-CN"/>
        </w:rPr>
        <w:t>总指挥立即集合各小组进行现场调查和处置。</w:t>
      </w:r>
    </w:p>
    <w:bookmarkEnd w:id="159"/>
    <w:bookmarkEnd w:id="160"/>
    <w:p>
      <w:pPr>
        <w:pStyle w:val="132"/>
      </w:pPr>
      <w:bookmarkStart w:id="162" w:name="_Toc28400"/>
      <w:r>
        <w:rPr>
          <w:rFonts w:hint="eastAsia"/>
          <w:lang w:val="en-US" w:eastAsia="zh-CN"/>
        </w:rPr>
        <w:t>预警措施</w:t>
      </w:r>
      <w:bookmarkEnd w:id="162"/>
    </w:p>
    <w:p>
      <w:pPr>
        <w:pStyle w:val="124"/>
        <w:ind w:firstLine="560"/>
      </w:pPr>
      <w:r>
        <w:rPr>
          <w:rFonts w:hint="eastAsia"/>
        </w:rPr>
        <w:t>公司内事故报警方式采用内部电话和外部电话（包括手机、对讲机等）线路进行报警，由指挥组根据事态情况通过公司通讯系统向公司内部发布事故消息，做出紧急疏散和撤离等警报。需要向社会和周边发布警报时，由指挥组人员向政府以及周边单位发送警报消息。事态严重紧急时，通过指挥组直接联系政府以及周边单位负责人，由总指挥亲自向政府或负责人发布消息，提出要求组织撤离疏散或者请求援助，随时保持电话联系。</w:t>
      </w:r>
    </w:p>
    <w:p>
      <w:pPr>
        <w:pStyle w:val="124"/>
        <w:ind w:firstLine="560"/>
      </w:pPr>
      <w:r>
        <w:rPr>
          <w:rFonts w:hint="eastAsia"/>
        </w:rPr>
        <w:t>在生产过程中，岗位操作人员发现危险目标发生泄漏应立即采取相应措施予以处理。操作人员无法控制时，立即向现场领导报告，现场领导依据泄漏事故的类别和级别，应立即向应急救援领导小组有关成员汇报，确定应急救援程序，并通知领导小组和其它成员。</w:t>
      </w:r>
    </w:p>
    <w:p>
      <w:pPr>
        <w:pStyle w:val="132"/>
      </w:pPr>
      <w:bookmarkStart w:id="163" w:name="_Toc505945712"/>
      <w:bookmarkStart w:id="164" w:name="_Toc30913"/>
      <w:bookmarkStart w:id="165" w:name="_Toc461"/>
      <w:r>
        <w:rPr>
          <w:rFonts w:hint="eastAsia"/>
        </w:rPr>
        <w:t>预警解除</w:t>
      </w:r>
      <w:bookmarkEnd w:id="161"/>
      <w:bookmarkEnd w:id="163"/>
      <w:bookmarkEnd w:id="164"/>
      <w:bookmarkEnd w:id="165"/>
    </w:p>
    <w:p>
      <w:pPr>
        <w:pStyle w:val="124"/>
        <w:ind w:firstLine="560"/>
      </w:pPr>
      <w:r>
        <w:rPr>
          <w:rFonts w:hint="eastAsia"/>
        </w:rPr>
        <w:t>（1）只有事故危险完全消除或应急救援行动已没有必要时，才可以解除应急状态。应急状态的解除由应急指挥组组长下达解除令；</w:t>
      </w:r>
    </w:p>
    <w:p>
      <w:pPr>
        <w:pStyle w:val="124"/>
        <w:ind w:firstLine="560"/>
      </w:pPr>
      <w:r>
        <w:rPr>
          <w:rFonts w:hint="eastAsia"/>
        </w:rPr>
        <w:t>（2）应急指挥组组员对接受和下达的各种应急指令必须认真记录在案，归档保存。</w:t>
      </w:r>
    </w:p>
    <w:p>
      <w:pPr>
        <w:pStyle w:val="131"/>
      </w:pPr>
      <w:bookmarkStart w:id="166" w:name="_Toc16263"/>
      <w:bookmarkStart w:id="167" w:name="_Toc8910"/>
      <w:bookmarkStart w:id="168" w:name="_Toc505945713"/>
      <w:r>
        <w:rPr>
          <w:rFonts w:hint="eastAsia"/>
        </w:rPr>
        <w:t>信息</w:t>
      </w:r>
      <w:r>
        <w:t>报告与通报</w:t>
      </w:r>
      <w:bookmarkEnd w:id="166"/>
      <w:bookmarkEnd w:id="167"/>
      <w:bookmarkEnd w:id="168"/>
    </w:p>
    <w:p>
      <w:pPr>
        <w:pStyle w:val="124"/>
        <w:ind w:firstLine="560"/>
      </w:pPr>
      <w:r>
        <w:rPr>
          <w:rFonts w:hint="eastAsia"/>
        </w:rPr>
        <w:t>依据《国家突发环境事件应急预案》及有关规定，明确信息报告时限和发布程序、内容和方式，公司信息报告和通报具体情况如下。</w:t>
      </w:r>
    </w:p>
    <w:p>
      <w:pPr>
        <w:pStyle w:val="132"/>
      </w:pPr>
      <w:bookmarkStart w:id="169" w:name="_Toc18075"/>
      <w:bookmarkStart w:id="170" w:name="_Toc13563"/>
      <w:bookmarkStart w:id="171" w:name="_Toc505945714"/>
      <w:r>
        <w:rPr>
          <w:rFonts w:hint="eastAsia"/>
        </w:rPr>
        <w:t>内部报告</w:t>
      </w:r>
      <w:bookmarkEnd w:id="169"/>
      <w:bookmarkEnd w:id="170"/>
      <w:bookmarkEnd w:id="171"/>
    </w:p>
    <w:p>
      <w:pPr>
        <w:pStyle w:val="124"/>
        <w:ind w:firstLine="560"/>
        <w:rPr>
          <w:rFonts w:hint="eastAsia"/>
        </w:rPr>
      </w:pPr>
      <w:r>
        <w:rPr>
          <w:rFonts w:hint="eastAsia"/>
        </w:rPr>
        <w:t>如现场发生事故，现场的事故目击者立即通过现有的最方便手段（如对讲机或手动报警按钮或电话）向科室领导或当班领导报告事故地点、部位、险情</w:t>
      </w:r>
      <w:r>
        <w:rPr>
          <w:rFonts w:hint="eastAsia"/>
          <w:lang w:eastAsia="zh-CN"/>
        </w:rPr>
        <w:t>，</w:t>
      </w:r>
      <w:r>
        <w:rPr>
          <w:rFonts w:hint="eastAsia"/>
        </w:rPr>
        <w:t>公司24小时应急值守电话为0991-3930</w:t>
      </w:r>
      <w:r>
        <w:rPr>
          <w:rFonts w:hint="eastAsia"/>
          <w:lang w:val="en-US" w:eastAsia="zh-CN"/>
        </w:rPr>
        <w:t>410。</w:t>
      </w:r>
      <w:r>
        <w:rPr>
          <w:rFonts w:hint="eastAsia"/>
        </w:rPr>
        <w:t>当值班领导或应急指挥部接到事故报警后，现场最高职务者或当班主管首先通过电话或对讲机询问事故地点、现场情况、事故性质和险情趋势（必要时到现场核实），并立即通知应急指挥部。应急指挥部接到通知后，立刻组织人员赶赴现场，对现场情况进行评估，对事故进行分级，并启动相应级数的应急预案。</w:t>
      </w:r>
    </w:p>
    <w:p>
      <w:pPr>
        <w:pStyle w:val="132"/>
      </w:pPr>
      <w:bookmarkStart w:id="172" w:name="_Toc505945715"/>
      <w:bookmarkStart w:id="173" w:name="_Toc18181"/>
      <w:bookmarkStart w:id="174" w:name="_Toc24936"/>
      <w:r>
        <w:rPr>
          <w:rFonts w:hint="eastAsia"/>
        </w:rPr>
        <w:t>信息上报</w:t>
      </w:r>
      <w:bookmarkEnd w:id="172"/>
      <w:bookmarkEnd w:id="173"/>
      <w:bookmarkEnd w:id="174"/>
    </w:p>
    <w:p>
      <w:pPr>
        <w:pStyle w:val="124"/>
        <w:ind w:firstLine="560"/>
        <w:rPr>
          <w:rFonts w:hint="eastAsia"/>
        </w:rPr>
      </w:pPr>
      <w:r>
        <w:rPr>
          <w:rFonts w:hint="eastAsia"/>
        </w:rPr>
        <w:t>事故影响范围小，不造成人员伤亡，对环境没有破坏性，到达现场后向指挥部通告相关情况，并由该工段的科室领导或当班主管组织人员处理。</w:t>
      </w:r>
    </w:p>
    <w:p>
      <w:pPr>
        <w:pStyle w:val="124"/>
        <w:ind w:firstLine="560"/>
        <w:rPr>
          <w:rFonts w:hint="eastAsia"/>
        </w:rPr>
      </w:pPr>
      <w:r>
        <w:rPr>
          <w:rFonts w:hint="eastAsia"/>
        </w:rPr>
        <w:t>事故影响范围较大，已威胁到员工的安全和对环境造成一定的破坏，但可以控制事态的发展，可以启动内部应急预案，由内部应急人员按照保障措施应急处理。</w:t>
      </w:r>
    </w:p>
    <w:p>
      <w:pPr>
        <w:pStyle w:val="124"/>
        <w:ind w:firstLine="560"/>
        <w:rPr>
          <w:rFonts w:hint="eastAsia"/>
        </w:rPr>
      </w:pPr>
      <w:r>
        <w:rPr>
          <w:rFonts w:hint="eastAsia"/>
        </w:rPr>
        <w:t>事故已造成人员伤亡，需要外部应急保障时，应急指挥部应立即在1小时内向</w:t>
      </w:r>
      <w:r>
        <w:rPr>
          <w:rFonts w:hint="eastAsia"/>
          <w:lang w:val="en-US" w:eastAsia="zh-CN"/>
        </w:rPr>
        <w:t>乌鲁木齐市</w:t>
      </w:r>
      <w:r>
        <w:rPr>
          <w:rFonts w:hint="eastAsia"/>
        </w:rPr>
        <w:t>生态环境，同时向</w:t>
      </w:r>
      <w:r>
        <w:rPr>
          <w:rFonts w:hint="eastAsia"/>
          <w:lang w:val="en-US" w:eastAsia="zh-CN"/>
        </w:rPr>
        <w:t>头区工业园</w:t>
      </w:r>
      <w:r>
        <w:rPr>
          <w:rFonts w:hint="eastAsia"/>
        </w:rPr>
        <w:t>政府报告，立即通知周边单位、居民紧急撤离疏散，并立即组织进行现场调查。紧急情况下，可以越级上报。</w:t>
      </w:r>
    </w:p>
    <w:p>
      <w:pPr>
        <w:pStyle w:val="124"/>
        <w:ind w:firstLine="560"/>
      </w:pPr>
      <w:r>
        <w:rPr>
          <w:rFonts w:hint="eastAsia"/>
        </w:rPr>
        <w:t>突发环境事件的报告分为初报、续报和处理结果报告。初报在发现或者得知突发环境事件后首次上报，从发现事件后起1小时内上报乌市环保局；续报在查清有关基本情况后随时上报乌市环保局；处理结果报告在事件处理完毕后立即上报乌市环保局。</w:t>
      </w:r>
    </w:p>
    <w:p>
      <w:pPr>
        <w:pStyle w:val="124"/>
        <w:ind w:firstLine="560"/>
      </w:pPr>
      <w:r>
        <w:rPr>
          <w:rFonts w:hint="eastAsia"/>
        </w:rPr>
        <w:t>（1）初报可用电话联络，主要内容包括：环境事件的类型、发生时间、地点、污染源、主要污染物质、人员受害情况、事件潜在的危害程度、转化方式趋向等初步情况。</w:t>
      </w:r>
    </w:p>
    <w:p>
      <w:pPr>
        <w:pStyle w:val="124"/>
        <w:ind w:firstLine="560"/>
      </w:pPr>
      <w:r>
        <w:rPr>
          <w:rFonts w:hint="eastAsia"/>
        </w:rPr>
        <w:t>（2）续报可通过网络或书面报告，应当在初报的基础上报告有关确切数据，事件发生的原因、过程、进展情况及采取的应急措施等基本情况。</w:t>
      </w:r>
    </w:p>
    <w:p>
      <w:pPr>
        <w:pStyle w:val="124"/>
        <w:ind w:firstLine="560"/>
      </w:pPr>
      <w:r>
        <w:rPr>
          <w:rFonts w:hint="eastAsia"/>
        </w:rPr>
        <w:t>（3）处理结果报告采用书面报告，应当在初报和续报的基础上，报告处理突发环境事件的措施、过程和结果，突发环境事件潜在或者间接危害以及损失、社会影响、处理后的遗留问题、责任追究等详细情况。</w:t>
      </w:r>
    </w:p>
    <w:p>
      <w:pPr>
        <w:pStyle w:val="124"/>
        <w:ind w:firstLine="560"/>
      </w:pPr>
      <w:r>
        <w:rPr>
          <w:rFonts w:hint="eastAsia"/>
        </w:rPr>
        <w:t>书面报告中应当载明突发环境事件报告单位、报告签发人、联系人及联系方式等内容，并尽可能提供地图、图片以及相关的多媒体资料。</w:t>
      </w:r>
    </w:p>
    <w:p>
      <w:pPr>
        <w:pStyle w:val="124"/>
        <w:ind w:firstLine="560"/>
      </w:pPr>
      <w:r>
        <w:rPr>
          <w:rFonts w:hint="eastAsia"/>
        </w:rPr>
        <w:t>在发生</w:t>
      </w:r>
      <w:r>
        <w:t>或可能发</w:t>
      </w:r>
      <w:r>
        <w:rPr>
          <w:rFonts w:hint="eastAsia"/>
        </w:rPr>
        <w:t>生</w:t>
      </w:r>
      <w:r>
        <w:t>突发环境</w:t>
      </w:r>
      <w:r>
        <w:rPr>
          <w:rFonts w:hint="eastAsia"/>
        </w:rPr>
        <w:t>事件</w:t>
      </w:r>
      <w:r>
        <w:t>时</w:t>
      </w:r>
      <w:r>
        <w:rPr>
          <w:rFonts w:hint="eastAsia"/>
        </w:rPr>
        <w:t>，公司</w:t>
      </w:r>
      <w:r>
        <w:t>应当立即采取</w:t>
      </w:r>
      <w:r>
        <w:rPr>
          <w:rFonts w:hint="eastAsia"/>
        </w:rPr>
        <w:t>措施</w:t>
      </w:r>
      <w:r>
        <w:t>处理，</w:t>
      </w:r>
      <w:r>
        <w:rPr>
          <w:rFonts w:hint="eastAsia"/>
        </w:rPr>
        <w:t>及时通报</w:t>
      </w:r>
      <w:r>
        <w:t>可能受到危害的单位或居民，并向环保</w:t>
      </w:r>
      <w:r>
        <w:rPr>
          <w:rFonts w:hint="eastAsia"/>
        </w:rPr>
        <w:t>主管</w:t>
      </w:r>
      <w:r>
        <w:t>部门</w:t>
      </w:r>
      <w:r>
        <w:rPr>
          <w:rFonts w:hint="eastAsia"/>
        </w:rPr>
        <w:t>和</w:t>
      </w:r>
      <w:r>
        <w:t>有关部门报告</w:t>
      </w:r>
      <w:r>
        <w:rPr>
          <w:rFonts w:hint="eastAsia"/>
        </w:rPr>
        <w:t>环境事件的类型、发生时间及主要污染物质；在查明有关基本情况后随时上报，报告事件发生的原因、过程、进展情况及采取的应急措施；在事件处理完毕后立即上报，报告处理事件的措施、过程、结果以及处理后的遗留问题，出具有关危害和损失证明文件。</w:t>
      </w:r>
    </w:p>
    <w:p>
      <w:pPr>
        <w:pStyle w:val="124"/>
        <w:ind w:firstLine="560"/>
      </w:pPr>
      <w:r>
        <w:rPr>
          <w:rFonts w:hint="eastAsia"/>
        </w:rPr>
        <w:t>上报流程：现场突发环境事件知情人或应急指挥办公室——►经开区政府——►</w:t>
      </w:r>
      <w:r>
        <w:rPr>
          <w:rFonts w:hint="eastAsia"/>
          <w:lang w:eastAsia="zh-CN"/>
        </w:rPr>
        <w:t>乌鲁木齐市经开区应急管理局</w:t>
      </w:r>
      <w:r>
        <w:rPr>
          <w:rFonts w:hint="eastAsia"/>
        </w:rPr>
        <w:t>——►</w:t>
      </w:r>
      <w:r>
        <w:rPr>
          <w:rFonts w:hint="eastAsia"/>
          <w:lang w:eastAsia="zh-CN"/>
        </w:rPr>
        <w:t>乌鲁木齐市环保局</w:t>
      </w:r>
      <w:r>
        <w:rPr>
          <w:rFonts w:hint="eastAsia"/>
        </w:rPr>
        <w:t>——►乌鲁木齐市政府、乌鲁木齐市安全生产应急救援指挥中心。</w:t>
      </w:r>
    </w:p>
    <w:p>
      <w:pPr>
        <w:pStyle w:val="124"/>
        <w:ind w:firstLine="560"/>
      </w:pPr>
      <w:r>
        <w:rPr>
          <w:rFonts w:hint="eastAsia"/>
        </w:rPr>
        <w:t>上报时限：公司应急指挥组在确认为重大及以上环境事件后，</w:t>
      </w:r>
      <w:r>
        <w:rPr>
          <w:rFonts w:hint="eastAsia"/>
          <w:lang w:eastAsia="zh-CN"/>
        </w:rPr>
        <w:t>由应急指挥组组长</w:t>
      </w:r>
      <w:r>
        <w:rPr>
          <w:rFonts w:hint="eastAsia"/>
        </w:rPr>
        <w:t>在事件发生后的1小时内向上级部门回报，情况紧急时，事故单位可直接向当地政府应急办报告。</w:t>
      </w:r>
    </w:p>
    <w:p>
      <w:pPr>
        <w:pStyle w:val="124"/>
        <w:ind w:firstLine="560"/>
        <w:rPr>
          <w:rFonts w:hint="eastAsia"/>
        </w:rPr>
      </w:pPr>
      <w:r>
        <w:rPr>
          <w:rFonts w:hint="eastAsia"/>
        </w:rPr>
        <w:t>上报内容：突发环境事件发生的时间、地点、单位；突发环境事件的简要经过、伤亡人数、损失初步估计，突发环境事件发生的原因初步判断；突发环境事件发生的原因初步判断、事件发生后采取的措施及事件控制情况以及事件报告单位或突发环境事件报告人。</w:t>
      </w:r>
    </w:p>
    <w:p>
      <w:pPr>
        <w:pStyle w:val="132"/>
      </w:pPr>
      <w:bookmarkStart w:id="175" w:name="_Toc505945716"/>
      <w:bookmarkStart w:id="176" w:name="_Toc16770"/>
      <w:bookmarkStart w:id="177" w:name="_Toc14198"/>
      <w:r>
        <w:rPr>
          <w:rFonts w:hint="eastAsia"/>
        </w:rPr>
        <w:t>信息通报</w:t>
      </w:r>
      <w:bookmarkEnd w:id="175"/>
      <w:bookmarkEnd w:id="176"/>
      <w:bookmarkEnd w:id="177"/>
    </w:p>
    <w:p>
      <w:pPr>
        <w:pStyle w:val="124"/>
        <w:ind w:firstLine="560"/>
      </w:pPr>
      <w:r>
        <w:rPr>
          <w:rFonts w:hint="eastAsia"/>
        </w:rPr>
        <w:t>通过电话、传真、报纸、公示等形式向突发环境事件可能影响的区域通报突发环境事件的情况，主要通报内容：环境事件的类型、发生时间、地点、污染源、主要污染物质的种类、数量、事件潜在的危害程度、转化方式趋向等初步情况。</w:t>
      </w:r>
    </w:p>
    <w:p>
      <w:pPr>
        <w:pStyle w:val="132"/>
      </w:pPr>
      <w:bookmarkStart w:id="178" w:name="_Toc26831"/>
      <w:bookmarkStart w:id="179" w:name="_Toc22201"/>
      <w:bookmarkStart w:id="180" w:name="_Toc505945717"/>
      <w:r>
        <w:rPr>
          <w:rFonts w:hint="eastAsia"/>
        </w:rPr>
        <w:t>事件报告内容</w:t>
      </w:r>
      <w:bookmarkEnd w:id="178"/>
      <w:bookmarkEnd w:id="179"/>
      <w:bookmarkEnd w:id="180"/>
    </w:p>
    <w:p>
      <w:pPr>
        <w:pStyle w:val="124"/>
        <w:ind w:firstLine="560"/>
      </w:pPr>
      <w:r>
        <w:rPr>
          <w:rFonts w:hint="eastAsia"/>
        </w:rPr>
        <w:t>事件报告应包括的内容有：突发环境事件发生的时间、地点、单位、类型和排放污染物的种类数量、直接的经济损失、已采取的应急措施，已污染的范围，潜在的危害程度，转化方式及趋势；突发环境事件的简要经过、伤亡人数、损失初步估计；突发环境事件发生的原因初步判断、突发环境事件发生后采取的措施及突发环境事件控制情况以及突发环境事件报告单位或突发环境事件报告人。</w:t>
      </w:r>
    </w:p>
    <w:p>
      <w:pPr>
        <w:pStyle w:val="124"/>
        <w:ind w:firstLine="560"/>
      </w:pPr>
      <w:r>
        <w:rPr>
          <w:rFonts w:hint="eastAsia"/>
        </w:rPr>
        <w:t>新疆福克油品股份有限公司突发环境事件发生后被报告人及相关部门、单位的联系方式见表</w:t>
      </w:r>
      <w:r>
        <w:t>5-</w:t>
      </w:r>
      <w:r>
        <w:rPr>
          <w:rFonts w:hint="eastAsia"/>
          <w:lang w:val="en-US" w:eastAsia="zh-CN"/>
        </w:rPr>
        <w:t>2</w:t>
      </w:r>
      <w:r>
        <w:rPr>
          <w:rFonts w:hint="eastAsia"/>
        </w:rPr>
        <w:t>。</w:t>
      </w:r>
    </w:p>
    <w:p>
      <w:pPr>
        <w:pStyle w:val="139"/>
        <w:spacing w:after="48"/>
        <w:ind w:firstLine="482"/>
        <w:rPr>
          <w:rFonts w:hint="eastAsia" w:ascii="仿宋" w:hAnsi="仿宋" w:eastAsia="仿宋" w:cs="仿宋"/>
        </w:rPr>
      </w:pPr>
      <w:r>
        <w:rPr>
          <w:rFonts w:hint="eastAsia" w:ascii="仿宋" w:hAnsi="仿宋" w:eastAsia="仿宋" w:cs="仿宋"/>
        </w:rPr>
        <w:t>表5-</w:t>
      </w:r>
      <w:r>
        <w:rPr>
          <w:rFonts w:hint="eastAsia" w:ascii="仿宋" w:hAnsi="仿宋" w:cs="仿宋"/>
          <w:lang w:val="en-US" w:eastAsia="zh-CN"/>
        </w:rPr>
        <w:t>2</w:t>
      </w:r>
      <w:r>
        <w:rPr>
          <w:rFonts w:hint="eastAsia" w:ascii="仿宋" w:hAnsi="仿宋" w:eastAsia="仿宋" w:cs="仿宋"/>
        </w:rPr>
        <w:t xml:space="preserve">   被报告人及相关部门、单位的联系方式</w:t>
      </w:r>
    </w:p>
    <w:tbl>
      <w:tblPr>
        <w:tblStyle w:val="41"/>
        <w:tblW w:w="86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3842"/>
        <w:gridCol w:w="4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0" w:hRule="atLeast"/>
          <w:jc w:val="center"/>
        </w:trPr>
        <w:tc>
          <w:tcPr>
            <w:tcW w:w="3842" w:type="dxa"/>
            <w:shd w:val="clear" w:color="auto" w:fill="FFFFFF"/>
          </w:tcPr>
          <w:p>
            <w:pPr>
              <w:pStyle w:val="143"/>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联系部门及人员</w:t>
            </w:r>
          </w:p>
        </w:tc>
        <w:tc>
          <w:tcPr>
            <w:tcW w:w="4844" w:type="dxa"/>
            <w:shd w:val="clear" w:color="auto" w:fill="FFFFFF"/>
          </w:tcPr>
          <w:p>
            <w:pPr>
              <w:pStyle w:val="143"/>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0" w:hRule="atLeast"/>
          <w:jc w:val="center"/>
        </w:trPr>
        <w:tc>
          <w:tcPr>
            <w:tcW w:w="3842" w:type="dxa"/>
            <w:shd w:val="clear" w:color="auto" w:fill="FFFFFF"/>
          </w:tcPr>
          <w:p>
            <w:pPr>
              <w:pStyle w:val="143"/>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乌鲁木齐市安全生产应急救援指挥中心</w:t>
            </w:r>
          </w:p>
        </w:tc>
        <w:tc>
          <w:tcPr>
            <w:tcW w:w="4844" w:type="dxa"/>
            <w:shd w:val="clear" w:color="auto" w:fill="FFFFFF"/>
          </w:tcPr>
          <w:p>
            <w:pPr>
              <w:pStyle w:val="143"/>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lang w:val="zh-TW"/>
                <w14:textFill>
                  <w14:solidFill>
                    <w14:schemeClr w14:val="tx1"/>
                  </w14:solidFill>
                </w14:textFill>
              </w:rPr>
              <w:t>0991-2814104</w:t>
            </w:r>
            <w:r>
              <w:rPr>
                <w:rFonts w:hint="eastAsia" w:ascii="仿宋" w:hAnsi="仿宋" w:eastAsia="仿宋" w:cs="仿宋"/>
                <w:color w:val="000000" w:themeColor="text1"/>
                <w:sz w:val="21"/>
                <w:szCs w:val="21"/>
                <w14:textFill>
                  <w14:solidFill>
                    <w14:schemeClr w14:val="tx1"/>
                  </w14:solidFill>
                </w14:textFill>
              </w:rPr>
              <w:t>，</w:t>
            </w:r>
            <w:r>
              <w:rPr>
                <w:rFonts w:hint="eastAsia" w:ascii="仿宋" w:hAnsi="仿宋" w:eastAsia="仿宋" w:cs="仿宋"/>
                <w:color w:val="000000" w:themeColor="text1"/>
                <w:sz w:val="21"/>
                <w:szCs w:val="21"/>
                <w:lang w:val="zh-TW"/>
                <w14:textFill>
                  <w14:solidFill>
                    <w14:schemeClr w14:val="tx1"/>
                  </w14:solidFill>
                </w14:textFill>
              </w:rPr>
              <w:t>2833914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0" w:hRule="atLeast"/>
          <w:jc w:val="center"/>
        </w:trPr>
        <w:tc>
          <w:tcPr>
            <w:tcW w:w="3842" w:type="dxa"/>
            <w:shd w:val="clear" w:color="auto" w:fill="FFFFFF"/>
          </w:tcPr>
          <w:p>
            <w:pPr>
              <w:pStyle w:val="143"/>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乌鲁木齐市政府</w:t>
            </w:r>
          </w:p>
        </w:tc>
        <w:tc>
          <w:tcPr>
            <w:tcW w:w="4844" w:type="dxa"/>
            <w:shd w:val="clear" w:color="auto" w:fill="FFFFFF"/>
          </w:tcPr>
          <w:p>
            <w:pPr>
              <w:pStyle w:val="143"/>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0991-4689114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0" w:hRule="atLeast"/>
          <w:jc w:val="center"/>
        </w:trPr>
        <w:tc>
          <w:tcPr>
            <w:tcW w:w="3842" w:type="dxa"/>
            <w:shd w:val="clear" w:color="auto" w:fill="FFFFFF"/>
          </w:tcPr>
          <w:p>
            <w:pPr>
              <w:pStyle w:val="143"/>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经开区（头屯河）政府</w:t>
            </w:r>
          </w:p>
        </w:tc>
        <w:tc>
          <w:tcPr>
            <w:tcW w:w="4844" w:type="dxa"/>
            <w:shd w:val="clear" w:color="auto" w:fill="FFFFFF"/>
          </w:tcPr>
          <w:p>
            <w:pPr>
              <w:pStyle w:val="143"/>
              <w:rPr>
                <w:rFonts w:hint="eastAsia" w:ascii="仿宋" w:hAnsi="仿宋" w:eastAsia="仿宋" w:cs="仿宋"/>
                <w:color w:val="000000" w:themeColor="text1"/>
                <w:sz w:val="21"/>
                <w:szCs w:val="21"/>
                <w14:textFill>
                  <w14:solidFill>
                    <w14:schemeClr w14:val="tx1"/>
                  </w14:solidFill>
                </w14:textFill>
              </w:rPr>
            </w:pPr>
            <w:r>
              <w:rPr>
                <w:rStyle w:val="182"/>
                <w:rFonts w:hint="eastAsia" w:ascii="仿宋" w:hAnsi="仿宋" w:eastAsia="仿宋" w:cs="仿宋"/>
                <w:sz w:val="21"/>
                <w:szCs w:val="21"/>
              </w:rPr>
              <w:t>0991-3713464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0" w:hRule="atLeast"/>
          <w:jc w:val="center"/>
        </w:trPr>
        <w:tc>
          <w:tcPr>
            <w:tcW w:w="3842" w:type="dxa"/>
            <w:shd w:val="clear" w:color="auto" w:fill="FFFFFF"/>
          </w:tcPr>
          <w:p>
            <w:pPr>
              <w:pStyle w:val="143"/>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乌鲁木齐铁路局乌西医院</w:t>
            </w:r>
          </w:p>
        </w:tc>
        <w:tc>
          <w:tcPr>
            <w:tcW w:w="4844" w:type="dxa"/>
            <w:shd w:val="clear" w:color="auto" w:fill="FFFFFF"/>
          </w:tcPr>
          <w:p>
            <w:pPr>
              <w:pStyle w:val="143"/>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0991-7937157(120)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0" w:hRule="atLeast"/>
          <w:jc w:val="center"/>
        </w:trPr>
        <w:tc>
          <w:tcPr>
            <w:tcW w:w="3842" w:type="dxa"/>
            <w:shd w:val="clear" w:color="auto" w:fill="FFFFFF"/>
          </w:tcPr>
          <w:p>
            <w:pPr>
              <w:pStyle w:val="143"/>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乌鲁木齐市消防支队</w:t>
            </w:r>
          </w:p>
        </w:tc>
        <w:tc>
          <w:tcPr>
            <w:tcW w:w="4844" w:type="dxa"/>
            <w:shd w:val="clear" w:color="auto" w:fill="FFFFFF"/>
          </w:tcPr>
          <w:p>
            <w:pPr>
              <w:pStyle w:val="143"/>
              <w:rPr>
                <w:rFonts w:hint="eastAsia" w:ascii="仿宋" w:hAnsi="仿宋" w:eastAsia="仿宋" w:cs="仿宋"/>
                <w:color w:val="000000" w:themeColor="text1"/>
                <w:sz w:val="21"/>
                <w:szCs w:val="21"/>
                <w14:textFill>
                  <w14:solidFill>
                    <w14:schemeClr w14:val="tx1"/>
                  </w14:solidFill>
                </w14:textFill>
              </w:rPr>
            </w:pPr>
            <w:r>
              <w:rPr>
                <w:rFonts w:hint="eastAsia" w:ascii="仿宋" w:hAnsi="仿宋" w:eastAsia="仿宋" w:cs="仿宋"/>
                <w:color w:val="000000" w:themeColor="text1"/>
                <w:sz w:val="21"/>
                <w:szCs w:val="21"/>
                <w14:textFill>
                  <w14:solidFill>
                    <w14:schemeClr w14:val="tx1"/>
                  </w14:solidFill>
                </w14:textFill>
              </w:rPr>
              <w:t>0991-2819168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0" w:hRule="atLeast"/>
          <w:jc w:val="center"/>
        </w:trPr>
        <w:tc>
          <w:tcPr>
            <w:tcW w:w="3842" w:type="dxa"/>
            <w:shd w:val="clear" w:color="auto" w:fill="FFFFFF"/>
          </w:tcPr>
          <w:p>
            <w:pPr>
              <w:pStyle w:val="143"/>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乌鲁木齐市经开区应急管理局</w:t>
            </w:r>
          </w:p>
        </w:tc>
        <w:tc>
          <w:tcPr>
            <w:tcW w:w="4844" w:type="dxa"/>
            <w:shd w:val="clear" w:color="auto" w:fill="FFFFFF"/>
          </w:tcPr>
          <w:p>
            <w:pPr>
              <w:pStyle w:val="143"/>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0991-3766666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0" w:hRule="atLeast"/>
          <w:jc w:val="center"/>
        </w:trPr>
        <w:tc>
          <w:tcPr>
            <w:tcW w:w="3842" w:type="dxa"/>
            <w:shd w:val="clear" w:color="auto" w:fill="FFFFFF"/>
          </w:tcPr>
          <w:p>
            <w:pPr>
              <w:pStyle w:val="143"/>
              <w:rPr>
                <w:rFonts w:hint="eastAsia" w:ascii="仿宋" w:hAnsi="仿宋" w:eastAsia="仿宋" w:cs="仿宋"/>
                <w:color w:val="000000" w:themeColor="text1"/>
                <w:sz w:val="21"/>
                <w:szCs w:val="21"/>
                <w:lang w:eastAsia="zh-CN"/>
                <w14:textFill>
                  <w14:solidFill>
                    <w14:schemeClr w14:val="tx1"/>
                  </w14:solidFill>
                </w14:textFill>
              </w:rPr>
            </w:pPr>
            <w:r>
              <w:rPr>
                <w:rFonts w:hint="eastAsia" w:ascii="仿宋" w:hAnsi="仿宋" w:eastAsia="仿宋" w:cs="仿宋"/>
                <w:color w:val="000000" w:themeColor="text1"/>
                <w:sz w:val="21"/>
                <w:szCs w:val="21"/>
                <w:lang w:eastAsia="zh-CN"/>
                <w14:textFill>
                  <w14:solidFill>
                    <w14:schemeClr w14:val="tx1"/>
                  </w14:solidFill>
                </w14:textFill>
              </w:rPr>
              <w:t>乌鲁木齐市环保局</w:t>
            </w:r>
          </w:p>
        </w:tc>
        <w:tc>
          <w:tcPr>
            <w:tcW w:w="4844" w:type="dxa"/>
            <w:shd w:val="clear" w:color="auto" w:fill="FFFFFF"/>
          </w:tcPr>
          <w:p>
            <w:pPr>
              <w:pStyle w:val="143"/>
              <w:rPr>
                <w:rFonts w:hint="default" w:ascii="仿宋" w:hAnsi="仿宋" w:eastAsia="仿宋" w:cs="仿宋"/>
                <w:color w:val="000000" w:themeColor="text1"/>
                <w:sz w:val="21"/>
                <w:szCs w:val="21"/>
                <w:lang w:val="en-US" w:eastAsia="zh-CN"/>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0991-3773152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0" w:hRule="atLeast"/>
          <w:jc w:val="center"/>
        </w:trPr>
        <w:tc>
          <w:tcPr>
            <w:tcW w:w="3842" w:type="dxa"/>
            <w:shd w:val="clear" w:color="auto" w:fill="FFFFFF"/>
            <w:vAlign w:val="center"/>
          </w:tcPr>
          <w:p>
            <w:pPr>
              <w:pStyle w:val="143"/>
              <w:spacing w:line="300" w:lineRule="auto"/>
              <w:ind w:firstLine="0" w:firstLineChars="0"/>
              <w:rPr>
                <w:rFonts w:hint="eastAsia" w:ascii="仿宋" w:hAnsi="仿宋" w:eastAsia="仿宋" w:cs="仿宋"/>
                <w:color w:val="000000"/>
                <w:kern w:val="2"/>
                <w:sz w:val="21"/>
                <w:szCs w:val="21"/>
                <w:lang w:val="en-US" w:eastAsia="zh-CN" w:bidi="ar-SA"/>
              </w:rPr>
            </w:pPr>
            <w:r>
              <w:rPr>
                <w:rFonts w:hint="eastAsia" w:ascii="仿宋" w:hAnsi="仿宋" w:eastAsia="仿宋" w:cs="仿宋"/>
                <w:lang w:eastAsia="zh-CN"/>
              </w:rPr>
              <w:t>新疆天山羔羊生物制药产业园</w:t>
            </w:r>
          </w:p>
        </w:tc>
        <w:tc>
          <w:tcPr>
            <w:tcW w:w="4844" w:type="dxa"/>
            <w:shd w:val="clear" w:color="auto" w:fill="FFFFFF"/>
            <w:vAlign w:val="top"/>
          </w:tcPr>
          <w:p>
            <w:pPr>
              <w:ind w:left="0" w:leftChars="0" w:firstLine="0" w:firstLineChars="0"/>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0991-3969658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0" w:hRule="atLeast"/>
          <w:jc w:val="center"/>
        </w:trPr>
        <w:tc>
          <w:tcPr>
            <w:tcW w:w="3842" w:type="dxa"/>
            <w:shd w:val="clear" w:color="auto" w:fill="FFFFFF"/>
            <w:vAlign w:val="center"/>
          </w:tcPr>
          <w:p>
            <w:pPr>
              <w:pStyle w:val="143"/>
              <w:spacing w:line="300" w:lineRule="auto"/>
              <w:ind w:firstLine="0" w:firstLineChars="0"/>
              <w:rPr>
                <w:rFonts w:hint="eastAsia" w:ascii="仿宋" w:hAnsi="仿宋" w:eastAsia="仿宋" w:cs="仿宋"/>
                <w:color w:val="000000"/>
                <w:kern w:val="2"/>
                <w:sz w:val="21"/>
                <w:szCs w:val="21"/>
                <w:lang w:val="en-US" w:eastAsia="zh-CN" w:bidi="ar-SA"/>
              </w:rPr>
            </w:pPr>
            <w:r>
              <w:rPr>
                <w:rFonts w:hint="eastAsia" w:ascii="仿宋" w:hAnsi="仿宋" w:eastAsia="仿宋" w:cs="仿宋"/>
                <w:lang w:eastAsia="zh-CN"/>
              </w:rPr>
              <w:t>四方锅炉有限公司</w:t>
            </w:r>
          </w:p>
        </w:tc>
        <w:tc>
          <w:tcPr>
            <w:tcW w:w="4844" w:type="dxa"/>
            <w:shd w:val="clear" w:color="auto" w:fill="FFFFFF"/>
            <w:vAlign w:val="top"/>
          </w:tcPr>
          <w:p>
            <w:pPr>
              <w:ind w:left="0" w:leftChars="0" w:firstLine="0" w:firstLineChars="0"/>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0991-3968238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0" w:hRule="atLeast"/>
          <w:jc w:val="center"/>
        </w:trPr>
        <w:tc>
          <w:tcPr>
            <w:tcW w:w="3842" w:type="dxa"/>
            <w:shd w:val="clear" w:color="auto" w:fill="FFFFFF"/>
            <w:vAlign w:val="center"/>
          </w:tcPr>
          <w:p>
            <w:pPr>
              <w:pStyle w:val="143"/>
              <w:spacing w:line="300" w:lineRule="auto"/>
              <w:ind w:firstLine="0" w:firstLineChars="0"/>
              <w:rPr>
                <w:rFonts w:hint="eastAsia" w:ascii="仿宋" w:hAnsi="仿宋" w:eastAsia="仿宋" w:cs="仿宋"/>
                <w:color w:val="000000"/>
                <w:kern w:val="2"/>
                <w:sz w:val="21"/>
                <w:szCs w:val="21"/>
                <w:lang w:val="en-US" w:eastAsia="zh-CN" w:bidi="ar-SA"/>
              </w:rPr>
            </w:pPr>
            <w:r>
              <w:rPr>
                <w:rFonts w:hint="eastAsia" w:ascii="仿宋" w:hAnsi="仿宋" w:eastAsia="仿宋" w:cs="仿宋"/>
                <w:lang w:eastAsia="zh-CN"/>
              </w:rPr>
              <w:t>新疆众鑫赢再生资源有限公司</w:t>
            </w:r>
          </w:p>
        </w:tc>
        <w:tc>
          <w:tcPr>
            <w:tcW w:w="4844" w:type="dxa"/>
            <w:shd w:val="clear" w:color="auto" w:fill="FFFFFF"/>
            <w:vAlign w:val="top"/>
          </w:tcPr>
          <w:p>
            <w:pPr>
              <w:ind w:left="0" w:leftChars="0" w:firstLine="0" w:firstLineChars="0"/>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0991-2330032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Ex>
        <w:trPr>
          <w:trHeight w:val="20" w:hRule="atLeast"/>
          <w:jc w:val="center"/>
        </w:trPr>
        <w:tc>
          <w:tcPr>
            <w:tcW w:w="3842" w:type="dxa"/>
            <w:shd w:val="clear" w:color="auto" w:fill="FFFFFF"/>
            <w:vAlign w:val="center"/>
          </w:tcPr>
          <w:p>
            <w:pPr>
              <w:pStyle w:val="143"/>
              <w:spacing w:line="300" w:lineRule="auto"/>
              <w:ind w:firstLine="0" w:firstLineChars="0"/>
              <w:rPr>
                <w:rFonts w:hint="eastAsia" w:ascii="仿宋" w:hAnsi="仿宋" w:eastAsia="仿宋" w:cs="仿宋"/>
                <w:color w:val="000000"/>
                <w:kern w:val="2"/>
                <w:sz w:val="21"/>
                <w:szCs w:val="21"/>
                <w:lang w:val="en-US" w:eastAsia="zh-CN" w:bidi="ar-SA"/>
              </w:rPr>
            </w:pPr>
            <w:r>
              <w:rPr>
                <w:rFonts w:hint="eastAsia" w:ascii="仿宋" w:hAnsi="仿宋" w:eastAsia="仿宋" w:cs="仿宋"/>
                <w:lang w:eastAsia="zh-CN"/>
              </w:rPr>
              <w:t>新疆金雪驰科技股份有限公司</w:t>
            </w:r>
          </w:p>
        </w:tc>
        <w:tc>
          <w:tcPr>
            <w:tcW w:w="4844" w:type="dxa"/>
            <w:shd w:val="clear" w:color="auto" w:fill="FFFFFF"/>
            <w:vAlign w:val="top"/>
          </w:tcPr>
          <w:p>
            <w:pPr>
              <w:ind w:left="0" w:leftChars="0" w:firstLine="0" w:firstLineChars="0"/>
              <w:jc w:val="center"/>
              <w:rPr>
                <w:rFonts w:hint="eastAsia" w:ascii="仿宋" w:hAnsi="仿宋" w:eastAsia="仿宋" w:cs="仿宋"/>
                <w:color w:val="000000" w:themeColor="text1"/>
                <w:kern w:val="2"/>
                <w:sz w:val="21"/>
                <w:szCs w:val="21"/>
                <w:lang w:val="en-US" w:eastAsia="zh-CN" w:bidi="ar-SA"/>
                <w14:textFill>
                  <w14:solidFill>
                    <w14:schemeClr w14:val="tx1"/>
                  </w14:solidFill>
                </w14:textFill>
              </w:rPr>
            </w:pPr>
            <w:r>
              <w:rPr>
                <w:rFonts w:hint="eastAsia" w:ascii="仿宋" w:hAnsi="仿宋" w:eastAsia="仿宋" w:cs="仿宋"/>
                <w:color w:val="000000" w:themeColor="text1"/>
                <w:sz w:val="21"/>
                <w:szCs w:val="21"/>
                <w:lang w:val="en-US" w:eastAsia="zh-CN"/>
                <w14:textFill>
                  <w14:solidFill>
                    <w14:schemeClr w14:val="tx1"/>
                  </w14:solidFill>
                </w14:textFill>
              </w:rPr>
              <w:t>0991-3963809</w:t>
            </w:r>
          </w:p>
        </w:tc>
      </w:tr>
    </w:tbl>
    <w:p>
      <w:pPr>
        <w:pStyle w:val="139"/>
        <w:spacing w:after="48"/>
        <w:ind w:firstLine="482"/>
        <w:rPr>
          <w:rFonts w:hint="eastAsia" w:ascii="仿宋" w:hAnsi="仿宋" w:eastAsia="仿宋" w:cs="仿宋"/>
        </w:rPr>
      </w:pPr>
    </w:p>
    <w:p>
      <w:pPr>
        <w:pStyle w:val="139"/>
        <w:spacing w:after="48"/>
        <w:ind w:firstLine="482"/>
        <w:rPr>
          <w:rFonts w:hint="eastAsia" w:ascii="仿宋" w:hAnsi="仿宋" w:eastAsia="仿宋" w:cs="仿宋"/>
        </w:rPr>
      </w:pPr>
    </w:p>
    <w:p>
      <w:pPr>
        <w:pStyle w:val="139"/>
        <w:spacing w:after="48"/>
        <w:ind w:firstLine="482"/>
      </w:pPr>
    </w:p>
    <w:p>
      <w:pPr>
        <w:pStyle w:val="43"/>
        <w:ind w:firstLine="883"/>
      </w:pPr>
      <w:bookmarkStart w:id="181" w:name="_Toc15784"/>
      <w:bookmarkStart w:id="182" w:name="_Toc20686"/>
      <w:bookmarkStart w:id="183" w:name="_Toc23466"/>
      <w:bookmarkStart w:id="184" w:name="_Toc14936"/>
      <w:bookmarkStart w:id="185" w:name="_Toc505945718"/>
      <w:r>
        <w:rPr>
          <w:rFonts w:hint="eastAsia"/>
        </w:rPr>
        <w:t>应急</w:t>
      </w:r>
      <w:bookmarkEnd w:id="104"/>
      <w:r>
        <w:rPr>
          <w:rFonts w:hint="eastAsia"/>
        </w:rPr>
        <w:t>响应</w:t>
      </w:r>
      <w:r>
        <w:t>与措施</w:t>
      </w:r>
      <w:bookmarkEnd w:id="181"/>
      <w:bookmarkEnd w:id="182"/>
      <w:bookmarkEnd w:id="183"/>
      <w:bookmarkEnd w:id="184"/>
      <w:bookmarkEnd w:id="185"/>
    </w:p>
    <w:p>
      <w:pPr>
        <w:pStyle w:val="124"/>
        <w:ind w:firstLine="560"/>
        <w:rPr>
          <w:rFonts w:hint="eastAsia"/>
        </w:rPr>
      </w:pPr>
      <w:bookmarkStart w:id="186" w:name="_Toc463949103"/>
      <w:bookmarkStart w:id="187" w:name="_Toc6711"/>
      <w:bookmarkStart w:id="188" w:name="_Toc505945719"/>
      <w:r>
        <w:rPr>
          <w:rFonts w:hint="eastAsia"/>
        </w:rPr>
        <w:t>发生突发环境事件时，应当立即采取有效先期措施来防止污染物的扩散。根据本预案环境风险评估报告中确定的主要危险物质为</w:t>
      </w:r>
      <w:r>
        <w:rPr>
          <w:rFonts w:hint="eastAsia"/>
          <w:lang w:val="en-US" w:eastAsia="zh-CN"/>
        </w:rPr>
        <w:t>废润滑油</w:t>
      </w:r>
      <w:r>
        <w:rPr>
          <w:rFonts w:hint="eastAsia"/>
        </w:rPr>
        <w:t>以及天然气，在运行过程中可能发生渗漏</w:t>
      </w:r>
      <w:r>
        <w:rPr>
          <w:rFonts w:hint="eastAsia"/>
          <w:lang w:eastAsia="zh-CN"/>
        </w:rPr>
        <w:t>，</w:t>
      </w:r>
      <w:r>
        <w:rPr>
          <w:rFonts w:hint="eastAsia"/>
          <w:lang w:val="en-US" w:eastAsia="zh-CN"/>
        </w:rPr>
        <w:t>燃烧，爆炸</w:t>
      </w:r>
      <w:r>
        <w:rPr>
          <w:rFonts w:hint="eastAsia"/>
        </w:rPr>
        <w:t>或不达标排放事件</w:t>
      </w:r>
      <w:r>
        <w:rPr>
          <w:rFonts w:hint="eastAsia"/>
          <w:lang w:eastAsia="zh-CN"/>
        </w:rPr>
        <w:t>。</w:t>
      </w:r>
    </w:p>
    <w:p>
      <w:pPr>
        <w:pStyle w:val="124"/>
        <w:ind w:firstLine="560"/>
        <w:rPr>
          <w:rFonts w:hint="eastAsia"/>
        </w:rPr>
      </w:pPr>
      <w:r>
        <w:rPr>
          <w:rFonts w:hint="eastAsia"/>
        </w:rPr>
        <w:t>当突发泄漏</w:t>
      </w:r>
      <w:r>
        <w:rPr>
          <w:rFonts w:hint="eastAsia"/>
          <w:lang w:eastAsia="zh-CN"/>
        </w:rPr>
        <w:t>，</w:t>
      </w:r>
      <w:r>
        <w:rPr>
          <w:rFonts w:hint="eastAsia"/>
          <w:lang w:val="en-US" w:eastAsia="zh-CN"/>
        </w:rPr>
        <w:t>爆炸，燃烧等</w:t>
      </w:r>
      <w:r>
        <w:rPr>
          <w:rFonts w:hint="eastAsia"/>
        </w:rPr>
        <w:t>环境事件时，第一发现事故的员工应初步评估并确认事故发生，立即警告暴露于危险第一人群（如操作人员），立即电话通知现场应急指挥部及抢险救援人员，必要时（如事故明显威胁人身安全时），立即启动撤离信号报警装置等应急警报。其次，在可行的情况下，应以科学安全的方法及方式控制事故源，以防事故恶化。</w:t>
      </w:r>
    </w:p>
    <w:p>
      <w:pPr>
        <w:pStyle w:val="124"/>
        <w:ind w:firstLine="560"/>
      </w:pPr>
      <w:r>
        <w:rPr>
          <w:rFonts w:hint="eastAsia"/>
        </w:rPr>
        <w:t>应对所有人员进行专业知识、应急能力等培训，如明确切断污染源的基本方案、掌握危险品泄漏时的处理方法及应对措施、明确雨水排放口的应急阀门开合等。保证在突发环境事件时在场人员能及时作出反应，将人员伤亡、环境污染及财产损失降到最低。</w:t>
      </w:r>
    </w:p>
    <w:p>
      <w:pPr>
        <w:pStyle w:val="131"/>
      </w:pPr>
      <w:bookmarkStart w:id="189" w:name="_Toc22668"/>
      <w:r>
        <w:rPr>
          <w:rFonts w:hint="eastAsia"/>
        </w:rPr>
        <w:t>分级响应</w:t>
      </w:r>
      <w:bookmarkEnd w:id="186"/>
      <w:r>
        <w:rPr>
          <w:rFonts w:hint="eastAsia"/>
        </w:rPr>
        <w:t>机制</w:t>
      </w:r>
      <w:bookmarkEnd w:id="187"/>
      <w:bookmarkEnd w:id="188"/>
      <w:bookmarkEnd w:id="189"/>
    </w:p>
    <w:p>
      <w:pPr>
        <w:pStyle w:val="124"/>
        <w:ind w:firstLine="560"/>
        <w:rPr>
          <w:rFonts w:hint="eastAsia"/>
          <w:lang w:val="en-US" w:eastAsia="zh-CN"/>
        </w:rPr>
      </w:pPr>
      <w:r>
        <w:rPr>
          <w:rFonts w:hint="eastAsia"/>
          <w:lang w:val="en-US" w:eastAsia="zh-CN"/>
        </w:rPr>
        <w:t>按突发环境事件的严重程度、影响范围和控制事态的能力以及可以调动的应急资源，对应突发环境事件分级标准，本预案将突发环境事件的应急响应分为特别重大（Ⅰ级）响应、重大（Ⅱ级）响应、较大（Ⅲ级）响应和一般（Ⅳ级）响应四级。超出应急处置能力时，应及时向乌鲁木齐应急救援机构请求。</w:t>
      </w:r>
    </w:p>
    <w:p>
      <w:pPr>
        <w:pStyle w:val="124"/>
        <w:ind w:firstLine="560"/>
      </w:pPr>
      <w:r>
        <w:rPr>
          <w:rFonts w:hint="eastAsia"/>
        </w:rPr>
        <w:t>依据国家相关规范，结合本企业突发环境事件的危害程度、影响范围和本企业对事件的可控能力，并结合事件分级，将预案响应分为较大（Ⅲ级）和一般（Ⅳ级）。</w:t>
      </w:r>
    </w:p>
    <w:p>
      <w:pPr>
        <w:pStyle w:val="139"/>
        <w:spacing w:after="48"/>
        <w:jc w:val="center"/>
        <w:rPr>
          <w:rFonts w:hint="eastAsia" w:ascii="仿宋" w:hAnsi="仿宋" w:eastAsia="仿宋" w:cs="仿宋"/>
        </w:rPr>
      </w:pPr>
      <w:r>
        <w:rPr>
          <w:rFonts w:hint="eastAsia" w:ascii="仿宋" w:hAnsi="仿宋" w:eastAsia="仿宋" w:cs="仿宋"/>
        </w:rPr>
        <w:t>表6-1  新疆福克油品股份有限公司预案响应分级表</w:t>
      </w:r>
    </w:p>
    <w:tbl>
      <w:tblPr>
        <w:tblStyle w:val="41"/>
        <w:tblW w:w="88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6179"/>
        <w:gridCol w:w="1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4" w:type="dxa"/>
            <w:shd w:val="clear" w:color="auto" w:fill="auto"/>
            <w:vAlign w:val="center"/>
          </w:tcPr>
          <w:p>
            <w:pPr>
              <w:pStyle w:val="174"/>
              <w:tabs>
                <w:tab w:val="center" w:pos="4153"/>
                <w:tab w:val="right" w:pos="8306"/>
              </w:tabs>
              <w:rPr>
                <w:rFonts w:hint="eastAsia" w:ascii="仿宋" w:hAnsi="仿宋" w:eastAsia="仿宋" w:cs="仿宋"/>
                <w:sz w:val="21"/>
                <w:szCs w:val="21"/>
              </w:rPr>
            </w:pPr>
            <w:bookmarkStart w:id="190" w:name="_Toc463949104"/>
            <w:r>
              <w:rPr>
                <w:rFonts w:hint="eastAsia" w:ascii="仿宋" w:hAnsi="仿宋" w:eastAsia="仿宋" w:cs="仿宋"/>
                <w:sz w:val="21"/>
                <w:szCs w:val="21"/>
              </w:rPr>
              <w:t>序号</w:t>
            </w:r>
          </w:p>
        </w:tc>
        <w:tc>
          <w:tcPr>
            <w:tcW w:w="6179"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对应的相关情形</w:t>
            </w:r>
          </w:p>
        </w:tc>
        <w:tc>
          <w:tcPr>
            <w:tcW w:w="1958"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事件分级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4"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1</w:t>
            </w:r>
          </w:p>
        </w:tc>
        <w:tc>
          <w:tcPr>
            <w:tcW w:w="6179" w:type="dxa"/>
            <w:shd w:val="clear" w:color="auto" w:fill="auto"/>
            <w:vAlign w:val="center"/>
          </w:tcPr>
          <w:p>
            <w:pPr>
              <w:spacing w:line="240" w:lineRule="auto"/>
              <w:ind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（1）天然气发生火灾爆炸、储油罐着火等环境污染突发事件造成3人以上死亡、10人以下死亡，中毒（重伤）50人以下的应急事件。</w:t>
            </w:r>
          </w:p>
          <w:p>
            <w:pPr>
              <w:spacing w:line="240" w:lineRule="auto"/>
              <w:ind w:firstLine="0" w:firstLineChars="0"/>
              <w:jc w:val="left"/>
              <w:rPr>
                <w:rFonts w:hint="eastAsia" w:ascii="仿宋" w:hAnsi="仿宋" w:eastAsia="仿宋" w:cs="仿宋"/>
                <w:kern w:val="2"/>
                <w:sz w:val="21"/>
                <w:szCs w:val="21"/>
                <w:lang w:val="en-US" w:eastAsia="zh-CN" w:bidi="ar-SA"/>
              </w:rPr>
            </w:pPr>
            <w:r>
              <w:rPr>
                <w:rFonts w:hint="eastAsia" w:ascii="仿宋" w:hAnsi="仿宋" w:eastAsia="仿宋" w:cs="仿宋"/>
                <w:kern w:val="2"/>
                <w:sz w:val="21"/>
                <w:szCs w:val="21"/>
                <w:lang w:val="en-US" w:eastAsia="zh-CN" w:bidi="ar-SA"/>
              </w:rPr>
              <w:t>（2）其他事故发生后，后果有可能继续扩大的。</w:t>
            </w:r>
          </w:p>
          <w:p>
            <w:pPr>
              <w:pStyle w:val="174"/>
              <w:tabs>
                <w:tab w:val="center" w:pos="4153"/>
                <w:tab w:val="right" w:pos="8306"/>
              </w:tabs>
              <w:jc w:val="both"/>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eastAsia="仿宋" w:cs="仿宋"/>
                <w:sz w:val="21"/>
                <w:szCs w:val="21"/>
                <w:lang w:val="en-US" w:eastAsia="zh-CN"/>
              </w:rPr>
              <w:t>3</w:t>
            </w:r>
            <w:r>
              <w:rPr>
                <w:rFonts w:hint="eastAsia" w:ascii="仿宋" w:hAnsi="仿宋" w:eastAsia="仿宋" w:cs="仿宋"/>
                <w:sz w:val="21"/>
                <w:szCs w:val="21"/>
              </w:rPr>
              <w:t>）遇地震或洪水等特大自然灾害时。</w:t>
            </w:r>
          </w:p>
        </w:tc>
        <w:tc>
          <w:tcPr>
            <w:tcW w:w="1958"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特别重大（</w:t>
            </w:r>
            <w:r>
              <w:rPr>
                <w:rFonts w:hint="eastAsia" w:ascii="仿宋" w:hAnsi="仿宋" w:eastAsia="仿宋" w:cs="仿宋"/>
                <w:sz w:val="21"/>
                <w:szCs w:val="21"/>
              </w:rPr>
              <w:fldChar w:fldCharType="begin"/>
            </w:r>
            <w:r>
              <w:rPr>
                <w:rFonts w:hint="eastAsia" w:ascii="仿宋" w:hAnsi="仿宋" w:eastAsia="仿宋" w:cs="仿宋"/>
                <w:sz w:val="21"/>
                <w:szCs w:val="21"/>
              </w:rPr>
              <w:instrText xml:space="preserve"> = 1 \* ROMAN </w:instrText>
            </w:r>
            <w:r>
              <w:rPr>
                <w:rFonts w:hint="eastAsia" w:ascii="仿宋" w:hAnsi="仿宋" w:eastAsia="仿宋" w:cs="仿宋"/>
                <w:sz w:val="21"/>
                <w:szCs w:val="21"/>
              </w:rPr>
              <w:fldChar w:fldCharType="separate"/>
            </w:r>
            <w:r>
              <w:rPr>
                <w:rFonts w:hint="eastAsia" w:ascii="仿宋" w:hAnsi="仿宋" w:eastAsia="仿宋" w:cs="仿宋"/>
                <w:sz w:val="21"/>
                <w:szCs w:val="21"/>
              </w:rPr>
              <w:t>I</w:t>
            </w:r>
            <w:r>
              <w:rPr>
                <w:rFonts w:hint="eastAsia" w:ascii="仿宋" w:hAnsi="仿宋" w:eastAsia="仿宋" w:cs="仿宋"/>
                <w:sz w:val="21"/>
                <w:szCs w:val="21"/>
              </w:rPr>
              <w:fldChar w:fldCharType="end"/>
            </w:r>
            <w:r>
              <w:rPr>
                <w:rFonts w:hint="eastAsia" w:ascii="仿宋" w:hAnsi="仿宋" w:eastAsia="仿宋" w:cs="仿宋"/>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4"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2</w:t>
            </w:r>
          </w:p>
        </w:tc>
        <w:tc>
          <w:tcPr>
            <w:tcW w:w="6179" w:type="dxa"/>
            <w:vAlign w:val="center"/>
          </w:tcPr>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（1）</w:t>
            </w:r>
            <w:r>
              <w:rPr>
                <w:rFonts w:hint="eastAsia" w:ascii="仿宋" w:hAnsi="仿宋" w:eastAsia="仿宋" w:cs="仿宋"/>
                <w:kern w:val="2"/>
                <w:sz w:val="21"/>
                <w:szCs w:val="21"/>
                <w:lang w:val="en-US" w:eastAsia="zh-CN" w:bidi="ar-SA"/>
              </w:rPr>
              <w:t>天然气发生火灾爆炸、储油罐着火</w:t>
            </w:r>
            <w:r>
              <w:rPr>
                <w:rFonts w:hint="eastAsia" w:ascii="仿宋" w:hAnsi="仿宋" w:eastAsia="仿宋" w:cs="仿宋"/>
                <w:sz w:val="21"/>
                <w:szCs w:val="21"/>
              </w:rPr>
              <w:t>等环境污染造成区域及周边区域500人以下疏散的应急事件。</w:t>
            </w:r>
          </w:p>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（2）</w:t>
            </w:r>
            <w:r>
              <w:rPr>
                <w:rFonts w:hint="eastAsia" w:ascii="仿宋" w:hAnsi="仿宋" w:eastAsia="仿宋" w:cs="仿宋"/>
                <w:kern w:val="2"/>
                <w:sz w:val="21"/>
                <w:szCs w:val="21"/>
                <w:lang w:val="en-US" w:eastAsia="zh-CN" w:bidi="ar-SA"/>
              </w:rPr>
              <w:t>天然气发生火灾爆炸、储油罐着火</w:t>
            </w:r>
            <w:r>
              <w:rPr>
                <w:rFonts w:hint="eastAsia" w:ascii="仿宋" w:hAnsi="仿宋" w:eastAsia="仿宋" w:cs="仿宋"/>
                <w:sz w:val="21"/>
                <w:szCs w:val="21"/>
              </w:rPr>
              <w:t>等环境污染突发事件造成10人以下重伤的应急事件。</w:t>
            </w:r>
          </w:p>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（3）环境污染事件危害影响到周边地区、经自救、抢险或一般救援不能迅速予以控制，并有进一步扩大或发展趋势的污染事故。</w:t>
            </w:r>
          </w:p>
          <w:p>
            <w:pPr>
              <w:spacing w:line="240" w:lineRule="auto"/>
              <w:ind w:firstLine="0" w:firstLineChars="0"/>
              <w:jc w:val="left"/>
              <w:rPr>
                <w:rFonts w:hint="eastAsia" w:ascii="仿宋" w:hAnsi="仿宋" w:eastAsia="仿宋" w:cs="仿宋"/>
                <w:sz w:val="21"/>
                <w:szCs w:val="21"/>
              </w:rPr>
            </w:pPr>
            <w:r>
              <w:rPr>
                <w:rFonts w:hint="eastAsia" w:ascii="仿宋" w:hAnsi="仿宋" w:eastAsia="仿宋" w:cs="仿宋"/>
                <w:sz w:val="21"/>
                <w:szCs w:val="21"/>
              </w:rPr>
              <w:t>（4）遇地震、洪水等重大自然灾害时。</w:t>
            </w:r>
          </w:p>
          <w:p>
            <w:pPr>
              <w:pStyle w:val="2"/>
              <w:autoSpaceDE/>
              <w:autoSpaceDN/>
              <w:adjustRightInd/>
              <w:rPr>
                <w:rFonts w:hint="eastAsia" w:ascii="仿宋" w:hAnsi="仿宋" w:eastAsia="仿宋" w:cs="仿宋"/>
                <w:sz w:val="21"/>
                <w:szCs w:val="21"/>
              </w:rPr>
            </w:pPr>
            <w:r>
              <w:rPr>
                <w:rFonts w:hint="eastAsia" w:ascii="仿宋" w:hAnsi="仿宋" w:eastAsia="仿宋" w:cs="仿宋"/>
                <w:sz w:val="21"/>
                <w:szCs w:val="21"/>
              </w:rPr>
              <w:t>（5）项目区发生火灾产生有毒有害烟气，未出现进一步扩散的趋势。</w:t>
            </w:r>
          </w:p>
          <w:p>
            <w:pPr>
              <w:pStyle w:val="174"/>
              <w:tabs>
                <w:tab w:val="center" w:pos="4153"/>
                <w:tab w:val="right" w:pos="8306"/>
              </w:tabs>
              <w:jc w:val="both"/>
              <w:rPr>
                <w:rFonts w:hint="eastAsia" w:ascii="仿宋" w:hAnsi="仿宋" w:eastAsia="仿宋" w:cs="仿宋"/>
                <w:sz w:val="21"/>
                <w:szCs w:val="21"/>
              </w:rPr>
            </w:pPr>
            <w:r>
              <w:rPr>
                <w:rFonts w:hint="eastAsia" w:ascii="仿宋" w:hAnsi="仿宋" w:eastAsia="仿宋" w:cs="仿宋"/>
                <w:sz w:val="21"/>
                <w:szCs w:val="21"/>
              </w:rPr>
              <w:t>（6）Ⅲ、Ⅳ级事故发生后，后果有可能继续扩散的</w:t>
            </w:r>
          </w:p>
        </w:tc>
        <w:tc>
          <w:tcPr>
            <w:tcW w:w="1958"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重大（Ⅱ级）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4"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3</w:t>
            </w:r>
          </w:p>
        </w:tc>
        <w:tc>
          <w:tcPr>
            <w:tcW w:w="6179" w:type="dxa"/>
            <w:shd w:val="clear" w:color="auto" w:fill="auto"/>
            <w:vAlign w:val="center"/>
          </w:tcPr>
          <w:p>
            <w:pPr>
              <w:pStyle w:val="174"/>
              <w:tabs>
                <w:tab w:val="center" w:pos="4153"/>
                <w:tab w:val="right" w:pos="8306"/>
              </w:tabs>
              <w:jc w:val="left"/>
              <w:rPr>
                <w:rFonts w:hint="eastAsia" w:ascii="仿宋" w:hAnsi="仿宋" w:eastAsia="仿宋" w:cs="仿宋"/>
                <w:sz w:val="21"/>
                <w:szCs w:val="21"/>
              </w:rPr>
            </w:pPr>
            <w:r>
              <w:rPr>
                <w:rFonts w:hint="eastAsia" w:ascii="仿宋" w:hAnsi="仿宋" w:eastAsia="仿宋" w:cs="仿宋"/>
                <w:sz w:val="21"/>
                <w:szCs w:val="21"/>
              </w:rPr>
              <w:t>（1）天然气发生火灾爆炸、</w:t>
            </w:r>
            <w:r>
              <w:rPr>
                <w:rFonts w:hint="eastAsia" w:ascii="仿宋" w:hAnsi="仿宋" w:eastAsia="仿宋" w:cs="仿宋"/>
                <w:kern w:val="2"/>
                <w:sz w:val="21"/>
                <w:szCs w:val="21"/>
                <w:lang w:val="en-US" w:eastAsia="zh-CN" w:bidi="ar-SA"/>
              </w:rPr>
              <w:t>储油罐着火</w:t>
            </w:r>
            <w:r>
              <w:rPr>
                <w:rFonts w:hint="eastAsia" w:ascii="仿宋" w:hAnsi="仿宋" w:eastAsia="仿宋" w:cs="仿宋"/>
                <w:sz w:val="21"/>
                <w:szCs w:val="21"/>
              </w:rPr>
              <w:t>等环境污染造成人员出现严重伤害的</w:t>
            </w:r>
            <w:r>
              <w:rPr>
                <w:rFonts w:hint="eastAsia" w:ascii="仿宋" w:hAnsi="仿宋" w:cs="仿宋"/>
                <w:sz w:val="21"/>
                <w:szCs w:val="21"/>
                <w:lang w:val="en-US" w:eastAsia="zh-CN"/>
              </w:rPr>
              <w:t>.</w:t>
            </w:r>
          </w:p>
          <w:p>
            <w:pPr>
              <w:pStyle w:val="174"/>
              <w:tabs>
                <w:tab w:val="center" w:pos="4153"/>
                <w:tab w:val="right" w:pos="8306"/>
              </w:tabs>
              <w:jc w:val="left"/>
              <w:rPr>
                <w:rFonts w:hint="eastAsia" w:ascii="仿宋" w:hAnsi="仿宋" w:eastAsia="仿宋" w:cs="仿宋"/>
                <w:sz w:val="21"/>
                <w:szCs w:val="21"/>
              </w:rPr>
            </w:pPr>
            <w:r>
              <w:rPr>
                <w:rFonts w:hint="eastAsia" w:ascii="仿宋" w:hAnsi="仿宋" w:eastAsia="仿宋" w:cs="仿宋"/>
                <w:sz w:val="21"/>
                <w:szCs w:val="21"/>
              </w:rPr>
              <w:t>（</w:t>
            </w:r>
            <w:r>
              <w:rPr>
                <w:rFonts w:hint="eastAsia" w:ascii="仿宋" w:hAnsi="仿宋" w:cs="仿宋"/>
                <w:sz w:val="21"/>
                <w:szCs w:val="21"/>
                <w:lang w:val="en-US" w:eastAsia="zh-CN"/>
              </w:rPr>
              <w:t>2</w:t>
            </w:r>
            <w:r>
              <w:rPr>
                <w:rFonts w:hint="eastAsia" w:ascii="仿宋" w:hAnsi="仿宋" w:eastAsia="仿宋" w:cs="仿宋"/>
                <w:sz w:val="21"/>
                <w:szCs w:val="21"/>
              </w:rPr>
              <w:t>）仪器设备不能正常运行或出现故障；</w:t>
            </w:r>
          </w:p>
        </w:tc>
        <w:tc>
          <w:tcPr>
            <w:tcW w:w="1958"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较大（Ⅲ级）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744"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4</w:t>
            </w:r>
          </w:p>
        </w:tc>
        <w:tc>
          <w:tcPr>
            <w:tcW w:w="6179" w:type="dxa"/>
          </w:tcPr>
          <w:p>
            <w:pPr>
              <w:pStyle w:val="129"/>
              <w:numPr>
                <w:ilvl w:val="0"/>
                <w:numId w:val="10"/>
              </w:numPr>
              <w:tabs>
                <w:tab w:val="center" w:pos="4153"/>
                <w:tab w:val="right" w:pos="8306"/>
              </w:tabs>
              <w:jc w:val="left"/>
              <w:rPr>
                <w:rFonts w:hint="eastAsia" w:ascii="仿宋" w:hAnsi="仿宋" w:eastAsia="仿宋" w:cs="仿宋"/>
                <w:sz w:val="21"/>
                <w:szCs w:val="21"/>
              </w:rPr>
            </w:pPr>
            <w:r>
              <w:rPr>
                <w:rFonts w:hint="eastAsia" w:ascii="仿宋" w:hAnsi="仿宋" w:eastAsia="仿宋" w:cs="仿宋"/>
                <w:sz w:val="21"/>
                <w:szCs w:val="21"/>
              </w:rPr>
              <w:t>天然气发生</w:t>
            </w:r>
            <w:r>
              <w:rPr>
                <w:rFonts w:hint="eastAsia" w:ascii="仿宋" w:hAnsi="仿宋" w:cs="仿宋"/>
                <w:sz w:val="21"/>
                <w:szCs w:val="21"/>
                <w:lang w:eastAsia="zh-CN"/>
              </w:rPr>
              <w:t>泄漏</w:t>
            </w:r>
            <w:r>
              <w:rPr>
                <w:rFonts w:hint="eastAsia" w:ascii="仿宋" w:hAnsi="仿宋" w:eastAsia="仿宋" w:cs="仿宋"/>
                <w:sz w:val="21"/>
                <w:szCs w:val="21"/>
              </w:rPr>
              <w:t>、</w:t>
            </w:r>
            <w:r>
              <w:rPr>
                <w:rFonts w:hint="eastAsia" w:ascii="仿宋" w:hAnsi="仿宋" w:eastAsia="仿宋" w:cs="仿宋"/>
                <w:kern w:val="2"/>
                <w:sz w:val="21"/>
                <w:szCs w:val="21"/>
                <w:lang w:val="en-US" w:eastAsia="zh-CN" w:bidi="ar-SA"/>
              </w:rPr>
              <w:t>储油罐</w:t>
            </w:r>
            <w:r>
              <w:rPr>
                <w:rFonts w:hint="eastAsia" w:ascii="仿宋" w:hAnsi="仿宋" w:cs="仿宋"/>
                <w:kern w:val="2"/>
                <w:sz w:val="21"/>
                <w:szCs w:val="21"/>
                <w:lang w:val="en-US" w:eastAsia="zh-CN" w:bidi="ar-SA"/>
              </w:rPr>
              <w:t>泄漏</w:t>
            </w:r>
            <w:r>
              <w:rPr>
                <w:rFonts w:hint="eastAsia" w:ascii="仿宋" w:hAnsi="仿宋" w:eastAsia="仿宋" w:cs="仿宋"/>
                <w:sz w:val="21"/>
                <w:szCs w:val="21"/>
              </w:rPr>
              <w:t>等</w:t>
            </w:r>
            <w:r>
              <w:rPr>
                <w:rFonts w:hint="eastAsia" w:ascii="仿宋" w:hAnsi="仿宋" w:cs="仿宋"/>
                <w:sz w:val="21"/>
                <w:szCs w:val="21"/>
                <w:lang w:eastAsia="zh-CN"/>
              </w:rPr>
              <w:t>相关人员即可处置的泄露事故。</w:t>
            </w:r>
          </w:p>
          <w:p>
            <w:pPr>
              <w:pStyle w:val="129"/>
              <w:numPr>
                <w:ilvl w:val="0"/>
                <w:numId w:val="10"/>
              </w:numPr>
              <w:tabs>
                <w:tab w:val="center" w:pos="4153"/>
                <w:tab w:val="right" w:pos="8306"/>
              </w:tabs>
              <w:jc w:val="left"/>
              <w:rPr>
                <w:rFonts w:hint="eastAsia" w:ascii="仿宋" w:hAnsi="仿宋" w:eastAsia="仿宋" w:cs="仿宋"/>
                <w:sz w:val="21"/>
                <w:szCs w:val="21"/>
              </w:rPr>
            </w:pPr>
            <w:r>
              <w:rPr>
                <w:rFonts w:hint="eastAsia" w:ascii="仿宋" w:hAnsi="仿宋" w:eastAsia="仿宋" w:cs="仿宋"/>
                <w:sz w:val="21"/>
                <w:szCs w:val="21"/>
              </w:rPr>
              <w:t>仪器设备运行不达标时；</w:t>
            </w:r>
          </w:p>
        </w:tc>
        <w:tc>
          <w:tcPr>
            <w:tcW w:w="1958" w:type="dxa"/>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一般（Ⅳ级）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8881" w:type="dxa"/>
            <w:gridSpan w:val="3"/>
            <w:shd w:val="clear" w:color="auto" w:fill="auto"/>
            <w:vAlign w:val="center"/>
          </w:tcPr>
          <w:p>
            <w:pPr>
              <w:pStyle w:val="174"/>
              <w:tabs>
                <w:tab w:val="center" w:pos="4153"/>
                <w:tab w:val="right" w:pos="8306"/>
              </w:tabs>
              <w:rPr>
                <w:rFonts w:hint="eastAsia" w:ascii="仿宋" w:hAnsi="仿宋" w:eastAsia="仿宋" w:cs="仿宋"/>
                <w:sz w:val="21"/>
                <w:szCs w:val="21"/>
              </w:rPr>
            </w:pPr>
            <w:r>
              <w:rPr>
                <w:rFonts w:hint="eastAsia" w:ascii="仿宋" w:hAnsi="仿宋" w:eastAsia="仿宋" w:cs="仿宋"/>
                <w:sz w:val="21"/>
                <w:szCs w:val="21"/>
              </w:rPr>
              <w:t>注：上述各等级中凡符合所列情形之一的，即为对应的突发环境事件级别。</w:t>
            </w:r>
          </w:p>
        </w:tc>
      </w:tr>
    </w:tbl>
    <w:p>
      <w:pPr>
        <w:pStyle w:val="124"/>
        <w:ind w:firstLine="560"/>
        <w:rPr>
          <w:rFonts w:hint="eastAsia"/>
        </w:rPr>
      </w:pPr>
      <w:bookmarkStart w:id="191" w:name="_Toc403686182"/>
      <w:r>
        <w:rPr>
          <w:rFonts w:hint="eastAsia"/>
          <w:lang w:eastAsia="zh-CN"/>
        </w:rPr>
        <w:t>（</w:t>
      </w:r>
      <w:r>
        <w:rPr>
          <w:rFonts w:hint="eastAsia"/>
          <w:lang w:val="en-US" w:eastAsia="zh-CN"/>
        </w:rPr>
        <w:t>1</w:t>
      </w:r>
      <w:r>
        <w:rPr>
          <w:rFonts w:hint="eastAsia"/>
          <w:lang w:eastAsia="zh-CN"/>
        </w:rPr>
        <w:t>）</w:t>
      </w:r>
      <w:r>
        <w:rPr>
          <w:rFonts w:hint="eastAsia"/>
        </w:rPr>
        <w:t>特别重大（Ⅰ级）响应</w:t>
      </w:r>
      <w:bookmarkEnd w:id="191"/>
    </w:p>
    <w:p>
      <w:pPr>
        <w:pStyle w:val="124"/>
        <w:ind w:firstLine="560"/>
        <w:rPr>
          <w:rFonts w:hint="eastAsia"/>
        </w:rPr>
      </w:pPr>
      <w:r>
        <w:rPr>
          <w:rFonts w:hint="eastAsia"/>
        </w:rPr>
        <w:t>发生特别重大突发环境事件时，由</w:t>
      </w:r>
      <w:r>
        <w:rPr>
          <w:rFonts w:hint="eastAsia"/>
          <w:lang w:eastAsia="zh-CN"/>
        </w:rPr>
        <w:t>公司</w:t>
      </w:r>
      <w:r>
        <w:rPr>
          <w:rFonts w:hint="eastAsia"/>
        </w:rPr>
        <w:t>突发环境事件应急领导小组负责启动Ⅰ级应急响应，同时向新疆维吾尔自治区生态环境厅报告。超出本</w:t>
      </w:r>
      <w:r>
        <w:rPr>
          <w:rFonts w:hint="eastAsia"/>
          <w:lang w:eastAsia="zh-CN"/>
        </w:rPr>
        <w:t>公司</w:t>
      </w:r>
      <w:r>
        <w:rPr>
          <w:rFonts w:hint="eastAsia"/>
        </w:rPr>
        <w:t>急处置能力的，及时请求当地政府给予支持，在政府的统一指挥下开展应急处置工作，视情况向邻近单位及人员报警和通知。</w:t>
      </w:r>
    </w:p>
    <w:p>
      <w:pPr>
        <w:pStyle w:val="124"/>
        <w:ind w:firstLine="560"/>
        <w:rPr>
          <w:rFonts w:hint="eastAsia"/>
        </w:rPr>
      </w:pPr>
      <w:r>
        <w:rPr>
          <w:rFonts w:hint="eastAsia"/>
          <w:lang w:eastAsia="zh-CN"/>
        </w:rPr>
        <w:t>（</w:t>
      </w:r>
      <w:r>
        <w:rPr>
          <w:rFonts w:hint="eastAsia"/>
          <w:lang w:val="en-US" w:eastAsia="zh-CN"/>
        </w:rPr>
        <w:t>2</w:t>
      </w:r>
      <w:r>
        <w:rPr>
          <w:rFonts w:hint="eastAsia"/>
          <w:lang w:eastAsia="zh-CN"/>
        </w:rPr>
        <w:t>）</w:t>
      </w:r>
      <w:r>
        <w:rPr>
          <w:rFonts w:hint="eastAsia"/>
        </w:rPr>
        <w:t>重大（Ⅱ级）响应</w:t>
      </w:r>
    </w:p>
    <w:p>
      <w:pPr>
        <w:pStyle w:val="124"/>
        <w:ind w:firstLine="560"/>
        <w:rPr>
          <w:rFonts w:hint="eastAsia"/>
        </w:rPr>
      </w:pPr>
      <w:r>
        <w:rPr>
          <w:rFonts w:hint="eastAsia"/>
        </w:rPr>
        <w:t>发生重大突发环境事件时，由</w:t>
      </w:r>
      <w:r>
        <w:rPr>
          <w:rFonts w:hint="eastAsia"/>
          <w:lang w:eastAsia="zh-CN"/>
        </w:rPr>
        <w:t>公司</w:t>
      </w:r>
      <w:r>
        <w:rPr>
          <w:rFonts w:hint="eastAsia"/>
        </w:rPr>
        <w:t>突发环境事件应急领导小组负责启动Ⅱ级应急响应，同时向</w:t>
      </w:r>
      <w:r>
        <w:rPr>
          <w:rFonts w:hint="eastAsia"/>
          <w:lang w:eastAsia="zh-CN"/>
        </w:rPr>
        <w:t>乌鲁木齐</w:t>
      </w:r>
      <w:r>
        <w:rPr>
          <w:rFonts w:hint="eastAsia"/>
        </w:rPr>
        <w:t>生态环境局报告，视情况请求消防、医疗、监测单位进行外部支援。</w:t>
      </w:r>
    </w:p>
    <w:p>
      <w:pPr>
        <w:pStyle w:val="124"/>
        <w:ind w:firstLine="560"/>
        <w:rPr>
          <w:rFonts w:hint="eastAsia"/>
        </w:rPr>
      </w:pPr>
      <w:bookmarkStart w:id="192" w:name="_Toc403686184"/>
      <w:r>
        <w:rPr>
          <w:rFonts w:hint="eastAsia"/>
          <w:lang w:eastAsia="zh-CN"/>
        </w:rPr>
        <w:t>（</w:t>
      </w:r>
      <w:r>
        <w:rPr>
          <w:rFonts w:hint="eastAsia"/>
          <w:lang w:val="en-US" w:eastAsia="zh-CN"/>
        </w:rPr>
        <w:t>3</w:t>
      </w:r>
      <w:r>
        <w:rPr>
          <w:rFonts w:hint="eastAsia"/>
          <w:lang w:eastAsia="zh-CN"/>
        </w:rPr>
        <w:t>）</w:t>
      </w:r>
      <w:r>
        <w:rPr>
          <w:rFonts w:hint="eastAsia"/>
        </w:rPr>
        <w:t>较大（Ⅲ级）响应</w:t>
      </w:r>
      <w:bookmarkEnd w:id="192"/>
    </w:p>
    <w:p>
      <w:pPr>
        <w:pStyle w:val="124"/>
        <w:ind w:firstLine="560"/>
        <w:rPr>
          <w:rFonts w:hint="eastAsia"/>
        </w:rPr>
      </w:pPr>
      <w:r>
        <w:rPr>
          <w:rFonts w:hint="eastAsia"/>
        </w:rPr>
        <w:t>发生较大突发环境事件时，由</w:t>
      </w:r>
      <w:r>
        <w:rPr>
          <w:rFonts w:hint="eastAsia"/>
          <w:lang w:eastAsia="zh-CN"/>
        </w:rPr>
        <w:t>值班领导</w:t>
      </w:r>
      <w:r>
        <w:rPr>
          <w:rFonts w:hint="eastAsia"/>
        </w:rPr>
        <w:t>负责启动Ⅲ级应急响应，同时将情况上报</w:t>
      </w:r>
      <w:r>
        <w:rPr>
          <w:rFonts w:hint="eastAsia"/>
          <w:lang w:eastAsia="zh-CN"/>
        </w:rPr>
        <w:t>公司</w:t>
      </w:r>
      <w:r>
        <w:rPr>
          <w:rFonts w:hint="eastAsia"/>
        </w:rPr>
        <w:t>突发环境事件应急领导小组，超出</w:t>
      </w:r>
      <w:r>
        <w:rPr>
          <w:rFonts w:hint="eastAsia"/>
          <w:lang w:eastAsia="zh-CN"/>
        </w:rPr>
        <w:t>应急指挥组</w:t>
      </w:r>
      <w:r>
        <w:rPr>
          <w:rFonts w:hint="eastAsia"/>
        </w:rPr>
        <w:t>应急处置能力的，及时请求给予支持。</w:t>
      </w:r>
    </w:p>
    <w:p>
      <w:pPr>
        <w:pStyle w:val="124"/>
        <w:ind w:firstLine="560"/>
        <w:rPr>
          <w:rFonts w:hint="eastAsia"/>
        </w:rPr>
      </w:pPr>
      <w:bookmarkStart w:id="193" w:name="_Toc403686185"/>
      <w:r>
        <w:rPr>
          <w:rFonts w:hint="eastAsia"/>
          <w:lang w:eastAsia="zh-CN"/>
        </w:rPr>
        <w:t>（</w:t>
      </w:r>
      <w:r>
        <w:rPr>
          <w:rFonts w:hint="eastAsia"/>
          <w:lang w:val="en-US" w:eastAsia="zh-CN"/>
        </w:rPr>
        <w:t>4</w:t>
      </w:r>
      <w:r>
        <w:rPr>
          <w:rFonts w:hint="eastAsia"/>
          <w:lang w:eastAsia="zh-CN"/>
        </w:rPr>
        <w:t>）</w:t>
      </w:r>
      <w:r>
        <w:rPr>
          <w:rFonts w:hint="eastAsia"/>
        </w:rPr>
        <w:t>一般（Ⅳ级）响应</w:t>
      </w:r>
      <w:bookmarkEnd w:id="193"/>
    </w:p>
    <w:p>
      <w:pPr>
        <w:pStyle w:val="124"/>
        <w:ind w:firstLine="560"/>
      </w:pPr>
      <w:r>
        <w:rPr>
          <w:rFonts w:hint="eastAsia"/>
        </w:rPr>
        <w:t>发生一般突发环境事件时，由总</w:t>
      </w:r>
      <w:r>
        <w:rPr>
          <w:rFonts w:hint="eastAsia"/>
          <w:lang w:eastAsia="zh-CN"/>
        </w:rPr>
        <w:t>值班领导</w:t>
      </w:r>
      <w:r>
        <w:rPr>
          <w:rFonts w:hint="eastAsia"/>
        </w:rPr>
        <w:t>负责启动Ⅳ级应急响应，由</w:t>
      </w:r>
      <w:r>
        <w:rPr>
          <w:rFonts w:hint="eastAsia"/>
          <w:lang w:eastAsia="zh-CN"/>
        </w:rPr>
        <w:t>值班领导</w:t>
      </w:r>
      <w:r>
        <w:rPr>
          <w:rFonts w:hint="eastAsia"/>
        </w:rPr>
        <w:t>指挥实施相应的现场处置，完成应急抢险工作。</w:t>
      </w:r>
    </w:p>
    <w:p>
      <w:pPr>
        <w:pStyle w:val="124"/>
        <w:ind w:firstLine="560"/>
        <w:rPr>
          <w:rFonts w:hint="eastAsia"/>
        </w:rPr>
      </w:pPr>
    </w:p>
    <w:p>
      <w:pPr>
        <w:pStyle w:val="131"/>
      </w:pPr>
      <w:bookmarkStart w:id="194" w:name="_Toc13782"/>
      <w:bookmarkStart w:id="195" w:name="_Toc505945720"/>
      <w:bookmarkStart w:id="196" w:name="_Toc11671"/>
      <w:r>
        <w:rPr>
          <w:rFonts w:hint="eastAsia"/>
        </w:rPr>
        <w:t>应急</w:t>
      </w:r>
      <w:bookmarkEnd w:id="190"/>
      <w:r>
        <w:rPr>
          <w:rFonts w:hint="eastAsia"/>
        </w:rPr>
        <w:t>措施</w:t>
      </w:r>
      <w:bookmarkEnd w:id="194"/>
      <w:bookmarkEnd w:id="195"/>
      <w:bookmarkEnd w:id="196"/>
    </w:p>
    <w:p>
      <w:pPr>
        <w:pStyle w:val="132"/>
      </w:pPr>
      <w:bookmarkStart w:id="197" w:name="_Toc8427"/>
      <w:bookmarkStart w:id="198" w:name="_Toc25945"/>
      <w:bookmarkStart w:id="199" w:name="_Toc505945721"/>
      <w:r>
        <w:rPr>
          <w:rFonts w:hint="eastAsia"/>
        </w:rPr>
        <w:t>突发环境事件现场应急措施</w:t>
      </w:r>
      <w:bookmarkEnd w:id="197"/>
      <w:bookmarkEnd w:id="198"/>
      <w:bookmarkEnd w:id="199"/>
    </w:p>
    <w:p>
      <w:pPr>
        <w:pStyle w:val="136"/>
      </w:pPr>
      <w:r>
        <w:rPr>
          <w:rFonts w:hint="eastAsia"/>
        </w:rPr>
        <w:t>应急</w:t>
      </w:r>
      <w:r>
        <w:t>处理措施</w:t>
      </w:r>
    </w:p>
    <w:p>
      <w:pPr>
        <w:pStyle w:val="124"/>
        <w:ind w:firstLine="560"/>
      </w:pPr>
      <w:r>
        <w:rPr>
          <w:rFonts w:hint="eastAsia"/>
        </w:rPr>
        <w:t>1、事故发生时采取应急措施的总体要求</w:t>
      </w:r>
    </w:p>
    <w:p>
      <w:pPr>
        <w:pStyle w:val="124"/>
        <w:ind w:firstLine="560"/>
      </w:pPr>
      <w:r>
        <w:rPr>
          <w:rFonts w:hint="eastAsia"/>
        </w:rPr>
        <w:t>一旦公司人员、操作人员发现紧急情况，经现场确认为泄漏、火灾、环保设施故障或其他环境污染等危险事故，要立即使用其通讯手段报告现场值班长和值班调度，值班调度立即向全公司发布应急救援报警，同时向指挥部成员报告，启动紧急应变响应系统。通报流程见基本处置程序框图。指挥部应根据应急类型、发生事件和严重程度，依照法律、法规和相关规定及时向上级主管部门通报事故情况。门卫保安人员接到指挥部命令后，应派人到公司路口引导消防或救护车辆进入事故现场。</w:t>
      </w:r>
    </w:p>
    <w:p>
      <w:pPr>
        <w:pStyle w:val="124"/>
      </w:pPr>
      <w:r>
        <w:rPr>
          <w:rFonts w:hint="eastAsia"/>
        </w:rPr>
        <w:t>（</w:t>
      </w:r>
      <w:r>
        <w:t>1</w:t>
      </w:r>
      <w:r>
        <w:rPr>
          <w:rFonts w:hint="eastAsia"/>
        </w:rPr>
        <w:t>）第一发现事故的员工应当初步评估并确认事故发生，立即警告暴露于危险的第一人群（如操作人员）。将事故在条件允许的</w:t>
      </w:r>
      <w:r>
        <w:t>情况</w:t>
      </w:r>
      <w:r>
        <w:rPr>
          <w:rFonts w:hint="eastAsia"/>
        </w:rPr>
        <w:t>下，电话通知当班负责人（若不可使用手机时应靠呼喊等方式），当班负责人迅速报告应急指挥组总指挥（</w:t>
      </w:r>
      <w:r>
        <w:rPr>
          <w:rFonts w:hint="eastAsia" w:ascii="仿宋" w:hAnsi="仿宋"/>
          <w:bCs w:val="0"/>
          <w:iCs w:val="0"/>
        </w:rPr>
        <w:t>涂晶</w:t>
      </w:r>
      <w:r>
        <w:rPr>
          <w:rFonts w:hint="eastAsia"/>
        </w:rPr>
        <w:t>，电</w:t>
      </w:r>
      <w:r>
        <w:rPr>
          <w:rFonts w:hint="eastAsia"/>
          <w:lang w:val="en-US" w:eastAsia="zh-CN"/>
        </w:rPr>
        <w:t>13999136693</w:t>
      </w:r>
      <w:r>
        <w:rPr>
          <w:rFonts w:hint="eastAsia"/>
          <w:color w:val="000000" w:themeColor="text1"/>
          <w14:textFill>
            <w14:solidFill>
              <w14:schemeClr w14:val="tx1"/>
            </w14:solidFill>
          </w14:textFill>
        </w:rPr>
        <w:t>），</w:t>
      </w:r>
      <w:r>
        <w:rPr>
          <w:rFonts w:hint="eastAsia"/>
        </w:rPr>
        <w:t>必要时（如事故明显威胁人身安全时），立即开启撤离信号报警装置等应急警报。其次，在可以</w:t>
      </w:r>
      <w:r>
        <w:t>控制</w:t>
      </w:r>
      <w:r>
        <w:rPr>
          <w:rFonts w:hint="eastAsia"/>
        </w:rPr>
        <w:t>事故源</w:t>
      </w:r>
      <w:r>
        <w:t>的情况下</w:t>
      </w:r>
      <w:r>
        <w:rPr>
          <w:rFonts w:hint="eastAsia"/>
        </w:rPr>
        <w:t>，则应控制事故源以防止事故恶化。如操作人员通过警报装置或巡检时发现危险目标发生泄漏，应立即采取相应措施予以处理。操作人员无法控制时，才执行以上流程。</w:t>
      </w:r>
    </w:p>
    <w:p>
      <w:pPr>
        <w:pStyle w:val="124"/>
        <w:ind w:firstLine="560"/>
      </w:pPr>
      <w:r>
        <w:rPr>
          <w:rFonts w:hint="eastAsia"/>
        </w:rPr>
        <w:t>（</w:t>
      </w:r>
      <w:r>
        <w:rPr>
          <w:rFonts w:hint="eastAsia"/>
          <w:lang w:val="en-US" w:eastAsia="zh-CN"/>
        </w:rPr>
        <w:t>2</w:t>
      </w:r>
      <w:r>
        <w:rPr>
          <w:rFonts w:hint="eastAsia"/>
        </w:rPr>
        <w:t>）现场当班组长、部门领导及应急指挥组成员接到报警后应立即赶赴现场，作出初始评估（如事故性质，准确的事故源，数量和材料泄漏的程度，事故可能对环境和人体健康造成的危害），确定应急响应级别，启动相应的应急预案，并通知单位可能受事故影响的人员以及应急人员和机构（如应急领导机构成员、应急队伍或外部应急</w:t>
      </w:r>
      <w:r>
        <w:t>/</w:t>
      </w:r>
      <w:r>
        <w:rPr>
          <w:rFonts w:hint="eastAsia"/>
        </w:rPr>
        <w:t>救援力量）；如果需要外界救援，则应当由应急指挥组成员或通讯联络组人员呼叫有关应急救援部门并立即通知地方政府有关主管部门。必要时，应向周边社区和临近工厂发出警报。</w:t>
      </w:r>
    </w:p>
    <w:p>
      <w:pPr>
        <w:pStyle w:val="124"/>
        <w:ind w:firstLine="560"/>
      </w:pPr>
      <w:r>
        <w:rPr>
          <w:rFonts w:hint="eastAsia"/>
        </w:rPr>
        <w:t>（</w:t>
      </w:r>
      <w:r>
        <w:rPr>
          <w:rFonts w:hint="eastAsia"/>
          <w:lang w:val="en-US" w:eastAsia="zh-CN"/>
        </w:rPr>
        <w:t>3</w:t>
      </w:r>
      <w:r>
        <w:rPr>
          <w:rFonts w:hint="eastAsia"/>
        </w:rPr>
        <w:t>）各有关人员接到报警后，应当按应急预案的要求启动相应的工作。</w:t>
      </w:r>
    </w:p>
    <w:p>
      <w:pPr>
        <w:pStyle w:val="124"/>
        <w:ind w:firstLine="560"/>
      </w:pPr>
      <w:r>
        <w:rPr>
          <w:rFonts w:hint="eastAsia"/>
        </w:rPr>
        <w:t>（</w:t>
      </w:r>
      <w:r>
        <w:rPr>
          <w:rFonts w:hint="eastAsia"/>
          <w:lang w:val="en-US" w:eastAsia="zh-CN"/>
        </w:rPr>
        <w:t>4</w:t>
      </w:r>
      <w:r>
        <w:rPr>
          <w:rFonts w:hint="eastAsia"/>
        </w:rPr>
        <w:t>）事故扩大情况下，应及时报告相关部门。</w:t>
      </w:r>
    </w:p>
    <w:p>
      <w:pPr>
        <w:pStyle w:val="124"/>
        <w:ind w:firstLine="560"/>
        <w:rPr>
          <w:rFonts w:ascii="仿宋" w:hAnsi="仿宋"/>
        </w:rPr>
      </w:pPr>
      <w:r>
        <w:t>基本程序图见图6-1</w:t>
      </w:r>
      <w:r>
        <w:rPr>
          <w:rFonts w:hint="eastAsia" w:ascii="仿宋" w:hAnsi="仿宋"/>
        </w:rPr>
        <w:t>。</w:t>
      </w:r>
    </w:p>
    <w:p>
      <w:pPr>
        <w:spacing w:line="600" w:lineRule="auto"/>
        <w:rPr>
          <w:rFonts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819008" behindDoc="0" locked="0" layoutInCell="1" allowOverlap="1">
                <wp:simplePos x="0" y="0"/>
                <wp:positionH relativeFrom="column">
                  <wp:posOffset>1828800</wp:posOffset>
                </wp:positionH>
                <wp:positionV relativeFrom="paragraph">
                  <wp:posOffset>104775</wp:posOffset>
                </wp:positionV>
                <wp:extent cx="1304925" cy="318770"/>
                <wp:effectExtent l="0" t="0" r="28575" b="24130"/>
                <wp:wrapNone/>
                <wp:docPr id="493" name="矩形 1544"/>
                <wp:cNvGraphicFramePr/>
                <a:graphic xmlns:a="http://schemas.openxmlformats.org/drawingml/2006/main">
                  <a:graphicData uri="http://schemas.microsoft.com/office/word/2010/wordprocessingShape">
                    <wps:wsp>
                      <wps:cNvSpPr>
                        <a:spLocks noChangeArrowheads="1"/>
                      </wps:cNvSpPr>
                      <wps:spPr bwMode="auto">
                        <a:xfrm>
                          <a:off x="0" y="0"/>
                          <a:ext cx="1304925" cy="318770"/>
                        </a:xfrm>
                        <a:prstGeom prst="rect">
                          <a:avLst/>
                        </a:prstGeom>
                        <a:solidFill>
                          <a:srgbClr val="FFFFFF"/>
                        </a:solidFill>
                        <a:ln w="9525">
                          <a:solidFill>
                            <a:srgbClr val="000000"/>
                          </a:solidFill>
                          <a:miter lim="200000"/>
                        </a:ln>
                      </wps:spPr>
                      <wps:txbx>
                        <w:txbxContent>
                          <w:p>
                            <w:pPr>
                              <w:rPr>
                                <w:rFonts w:ascii="仿宋" w:hAnsi="仿宋" w:eastAsia="仿宋"/>
                                <w:szCs w:val="21"/>
                              </w:rPr>
                            </w:pPr>
                            <w:r>
                              <w:rPr>
                                <w:rFonts w:hint="eastAsia" w:ascii="仿宋" w:hAnsi="仿宋" w:eastAsia="仿宋"/>
                                <w:szCs w:val="21"/>
                              </w:rPr>
                              <w:t>突发环境污染事件</w:t>
                            </w:r>
                          </w:p>
                        </w:txbxContent>
                      </wps:txbx>
                      <wps:bodyPr rot="0" vert="horz" wrap="square" lIns="91440" tIns="45720" rIns="91440" bIns="45720" anchor="t" anchorCtr="0" upright="1">
                        <a:noAutofit/>
                      </wps:bodyPr>
                    </wps:wsp>
                  </a:graphicData>
                </a:graphic>
              </wp:anchor>
            </w:drawing>
          </mc:Choice>
          <mc:Fallback>
            <w:pict>
              <v:rect id="矩形 1544" o:spid="_x0000_s1026" o:spt="1" style="position:absolute;left:0pt;margin-left:144pt;margin-top:8.25pt;height:25.1pt;width:102.75pt;z-index:251819008;mso-width-relative:page;mso-height-relative:page;" fillcolor="#FFFFFF" filled="t" stroked="t" coordsize="21600,21600" o:gfxdata="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Q59tG&#10;2AAAAAkBAAAPAAAAAAAAAAEAIAAAACIAAABkcnMvZG93bnJldi54bWxQSwECFAAUAAAACACHTuJA&#10;G+VTBSECAAAxBAAADgAAAAAAAAABACAAAAAnAQAAZHJzL2Uyb0RvYy54bWxQSwUGAAAAAAYABgBZ&#10;AQAAugUAAAAA&#10;">
                <v:fill on="t" focussize="0,0"/>
                <v:stroke color="#000000" miterlimit="2" joinstyle="miter"/>
                <v:imagedata o:title=""/>
                <o:lock v:ext="edit" aspectratio="f"/>
                <v:textbox>
                  <w:txbxContent>
                    <w:p>
                      <w:pPr>
                        <w:rPr>
                          <w:rFonts w:ascii="仿宋" w:hAnsi="仿宋" w:eastAsia="仿宋"/>
                          <w:szCs w:val="21"/>
                        </w:rPr>
                      </w:pPr>
                      <w:r>
                        <w:rPr>
                          <w:rFonts w:hint="eastAsia" w:ascii="仿宋" w:hAnsi="仿宋" w:eastAsia="仿宋"/>
                          <w:szCs w:val="21"/>
                        </w:rPr>
                        <w:t>突发环境污染事件</w:t>
                      </w:r>
                    </w:p>
                  </w:txbxContent>
                </v:textbox>
              </v:rect>
            </w:pict>
          </mc:Fallback>
        </mc:AlternateContent>
      </w:r>
      <w:r>
        <w:rPr>
          <w:rFonts w:ascii="仿宋" w:hAnsi="仿宋" w:eastAsia="仿宋"/>
          <w:sz w:val="28"/>
          <w:szCs w:val="28"/>
        </w:rPr>
        <mc:AlternateContent>
          <mc:Choice Requires="wps">
            <w:drawing>
              <wp:anchor distT="0" distB="0" distL="114300" distR="114300" simplePos="0" relativeHeight="251839488" behindDoc="0" locked="0" layoutInCell="1" allowOverlap="1">
                <wp:simplePos x="0" y="0"/>
                <wp:positionH relativeFrom="column">
                  <wp:posOffset>1030605</wp:posOffset>
                </wp:positionH>
                <wp:positionV relativeFrom="paragraph">
                  <wp:posOffset>422275</wp:posOffset>
                </wp:positionV>
                <wp:extent cx="635" cy="519430"/>
                <wp:effectExtent l="76200" t="0" r="56515" b="33020"/>
                <wp:wrapNone/>
                <wp:docPr id="490" name="直线 1546"/>
                <wp:cNvGraphicFramePr/>
                <a:graphic xmlns:a="http://schemas.openxmlformats.org/drawingml/2006/main">
                  <a:graphicData uri="http://schemas.microsoft.com/office/word/2010/wordprocessingShape">
                    <wps:wsp>
                      <wps:cNvCnPr>
                        <a:cxnSpLocks noChangeShapeType="1"/>
                      </wps:cNvCnPr>
                      <wps:spPr bwMode="auto">
                        <a:xfrm>
                          <a:off x="0" y="0"/>
                          <a:ext cx="635" cy="519430"/>
                        </a:xfrm>
                        <a:prstGeom prst="line">
                          <a:avLst/>
                        </a:prstGeom>
                        <a:noFill/>
                        <a:ln w="9525">
                          <a:solidFill>
                            <a:srgbClr val="000000"/>
                          </a:solidFill>
                          <a:round/>
                          <a:tailEnd type="triangle" w="med" len="med"/>
                        </a:ln>
                      </wps:spPr>
                      <wps:bodyPr/>
                    </wps:wsp>
                  </a:graphicData>
                </a:graphic>
              </wp:anchor>
            </w:drawing>
          </mc:Choice>
          <mc:Fallback>
            <w:pict>
              <v:line id="直线 1546" o:spid="_x0000_s1026" o:spt="20" style="position:absolute;left:0pt;margin-left:81.15pt;margin-top:33.25pt;height:40.9pt;width:0.05pt;z-index:251839488;mso-width-relative:page;mso-height-relative:page;" filled="f" stroked="t" coordsize="21600,21600" o:gfxdata="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Fsp1J2gAAAAoBAAAP&#10;AAAAAAAAAAEAIAAAACIAAABkcnMvZG93bnJldi54bWxQSwECFAAUAAAACACHTuJA4pdasd0BAACH&#10;AwAADgAAAAAAAAABACAAAAApAQAAZHJzL2Uyb0RvYy54bWxQSwUGAAAAAAYABgBZAQAAeAUAAAAA&#10;">
                <v:fill on="f" focussize="0,0"/>
                <v:stroke color="#000000" joinstyle="round" endarrow="block"/>
                <v:imagedata o:title=""/>
                <o:lock v:ext="edit" aspectratio="f"/>
              </v:line>
            </w:pict>
          </mc:Fallback>
        </mc:AlternateContent>
      </w:r>
      <w:r>
        <w:rPr>
          <w:rFonts w:ascii="仿宋" w:hAnsi="仿宋" w:eastAsia="仿宋"/>
          <w:sz w:val="28"/>
          <w:szCs w:val="28"/>
        </w:rPr>
        <mc:AlternateContent>
          <mc:Choice Requires="wps">
            <w:drawing>
              <wp:anchor distT="0" distB="0" distL="113665" distR="113665" simplePos="0" relativeHeight="251828224" behindDoc="0" locked="0" layoutInCell="1" allowOverlap="1">
                <wp:simplePos x="0" y="0"/>
                <wp:positionH relativeFrom="column">
                  <wp:posOffset>2403475</wp:posOffset>
                </wp:positionH>
                <wp:positionV relativeFrom="paragraph">
                  <wp:posOffset>440055</wp:posOffset>
                </wp:positionV>
                <wp:extent cx="0" cy="431165"/>
                <wp:effectExtent l="76200" t="0" r="38100" b="45085"/>
                <wp:wrapNone/>
                <wp:docPr id="495" name="直线 1547"/>
                <wp:cNvGraphicFramePr/>
                <a:graphic xmlns:a="http://schemas.openxmlformats.org/drawingml/2006/main">
                  <a:graphicData uri="http://schemas.microsoft.com/office/word/2010/wordprocessingShape">
                    <wps:wsp>
                      <wps:cNvCnPr>
                        <a:cxnSpLocks noChangeShapeType="1"/>
                      </wps:cNvCnPr>
                      <wps:spPr bwMode="auto">
                        <a:xfrm>
                          <a:off x="0" y="0"/>
                          <a:ext cx="0" cy="431165"/>
                        </a:xfrm>
                        <a:prstGeom prst="line">
                          <a:avLst/>
                        </a:prstGeom>
                        <a:noFill/>
                        <a:ln w="9525">
                          <a:solidFill>
                            <a:srgbClr val="000000"/>
                          </a:solidFill>
                          <a:round/>
                          <a:tailEnd type="triangle" w="med" len="med"/>
                        </a:ln>
                      </wps:spPr>
                      <wps:bodyPr/>
                    </wps:wsp>
                  </a:graphicData>
                </a:graphic>
              </wp:anchor>
            </w:drawing>
          </mc:Choice>
          <mc:Fallback>
            <w:pict>
              <v:line id="直线 1547" o:spid="_x0000_s1026" o:spt="20" style="position:absolute;left:0pt;margin-left:189.25pt;margin-top:34.65pt;height:33.95pt;width:0pt;z-index:251828224;mso-width-relative:page;mso-height-relative:page;" filled="f" stroked="t" coordsize="21600,21600" o:gfxdata="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jNhAzaAAAACgEAAA8AAAAA&#10;AAAAAQAgAAAAIgAAAGRycy9kb3ducmV2LnhtbFBLAQIUABQAAAAIAIdO4kCCePwy2QEAAIUDAAAO&#10;AAAAAAAAAAEAIAAAACkBAABkcnMvZTJvRG9jLnhtbFBLBQYAAAAABgAGAFkBAAB0BQAAAAA=&#10;">
                <v:fill on="f" focussize="0,0"/>
                <v:stroke color="#000000" joinstyle="round" endarrow="block"/>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814912" behindDoc="0" locked="0" layoutInCell="1" allowOverlap="1">
                <wp:simplePos x="0" y="0"/>
                <wp:positionH relativeFrom="column">
                  <wp:posOffset>573405</wp:posOffset>
                </wp:positionH>
                <wp:positionV relativeFrom="paragraph">
                  <wp:posOffset>112395</wp:posOffset>
                </wp:positionV>
                <wp:extent cx="914400" cy="309880"/>
                <wp:effectExtent l="0" t="0" r="0" b="0"/>
                <wp:wrapNone/>
                <wp:docPr id="492" name="矩形 1545"/>
                <wp:cNvGraphicFramePr/>
                <a:graphic xmlns:a="http://schemas.openxmlformats.org/drawingml/2006/main">
                  <a:graphicData uri="http://schemas.microsoft.com/office/word/2010/wordprocessingShape">
                    <wps:wsp>
                      <wps:cNvSpPr>
                        <a:spLocks noChangeArrowheads="1"/>
                      </wps:cNvSpPr>
                      <wps:spPr bwMode="auto">
                        <a:xfrm>
                          <a:off x="0" y="0"/>
                          <a:ext cx="914400" cy="309880"/>
                        </a:xfrm>
                        <a:prstGeom prst="rect">
                          <a:avLst/>
                        </a:prstGeom>
                        <a:solidFill>
                          <a:srgbClr val="FFFFFF"/>
                        </a:solidFill>
                        <a:ln w="9525">
                          <a:solidFill>
                            <a:srgbClr val="000000"/>
                          </a:solidFill>
                          <a:miter lim="200000"/>
                        </a:ln>
                      </wps:spPr>
                      <wps:txbx>
                        <w:txbxContent>
                          <w:p>
                            <w:pPr>
                              <w:ind w:firstLine="210" w:firstLineChars="100"/>
                              <w:rPr>
                                <w:rFonts w:ascii="仿宋" w:hAnsi="仿宋" w:eastAsia="仿宋"/>
                                <w:szCs w:val="21"/>
                              </w:rPr>
                            </w:pPr>
                            <w:r>
                              <w:rPr>
                                <w:rFonts w:hint="eastAsia" w:ascii="仿宋" w:hAnsi="仿宋" w:eastAsia="仿宋"/>
                                <w:szCs w:val="21"/>
                              </w:rPr>
                              <w:t>其它人员</w:t>
                            </w:r>
                          </w:p>
                        </w:txbxContent>
                      </wps:txbx>
                      <wps:bodyPr rot="0" vert="horz" wrap="square" lIns="91440" tIns="45720" rIns="91440" bIns="45720" anchor="t" anchorCtr="0" upright="1">
                        <a:noAutofit/>
                      </wps:bodyPr>
                    </wps:wsp>
                  </a:graphicData>
                </a:graphic>
              </wp:anchor>
            </w:drawing>
          </mc:Choice>
          <mc:Fallback>
            <w:pict>
              <v:rect id="矩形 1545" o:spid="_x0000_s1026" o:spt="1" style="position:absolute;left:0pt;margin-left:45.15pt;margin-top:8.85pt;height:24.4pt;width:72pt;z-index:251814912;mso-width-relative:page;mso-height-relative:page;" fillcolor="#FFFFFF" filled="t" stroked="t" coordsize="21600,21600" o:gfxdata="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7SPNcA&#10;AAAIAQAADwAAAAAAAAABACAAAAAiAAAAZHJzL2Rvd25yZXYueG1sUEsBAhQAFAAAAAgAh07iQCz0&#10;NCIgAgAAMAQAAA4AAAAAAAAAAQAgAAAAJgEAAGRycy9lMm9Eb2MueG1sUEsFBgAAAAAGAAYAWQEA&#10;ALgFAAAAAA==&#10;">
                <v:fill on="t" focussize="0,0"/>
                <v:stroke color="#000000" miterlimit="2" joinstyle="miter"/>
                <v:imagedata o:title=""/>
                <o:lock v:ext="edit" aspectratio="f"/>
                <v:textbox>
                  <w:txbxContent>
                    <w:p>
                      <w:pPr>
                        <w:ind w:firstLine="210" w:firstLineChars="100"/>
                        <w:rPr>
                          <w:rFonts w:ascii="仿宋" w:hAnsi="仿宋" w:eastAsia="仿宋"/>
                          <w:szCs w:val="21"/>
                        </w:rPr>
                      </w:pPr>
                      <w:r>
                        <w:rPr>
                          <w:rFonts w:hint="eastAsia" w:ascii="仿宋" w:hAnsi="仿宋" w:eastAsia="仿宋"/>
                          <w:szCs w:val="21"/>
                        </w:rPr>
                        <w:t>其它人员</w:t>
                      </w:r>
                    </w:p>
                  </w:txbxContent>
                </v:textbox>
              </v:rect>
            </w:pict>
          </mc:Fallback>
        </mc:AlternateContent>
      </w:r>
      <w:r>
        <w:rPr>
          <w:rFonts w:ascii="仿宋" w:hAnsi="仿宋" w:eastAsia="仿宋"/>
          <w:sz w:val="28"/>
          <w:szCs w:val="28"/>
        </w:rPr>
        <mc:AlternateContent>
          <mc:Choice Requires="wps">
            <w:drawing>
              <wp:anchor distT="0" distB="0" distL="114300" distR="114300" simplePos="0" relativeHeight="251827200" behindDoc="0" locked="0" layoutInCell="1" allowOverlap="1">
                <wp:simplePos x="0" y="0"/>
                <wp:positionH relativeFrom="column">
                  <wp:posOffset>1485900</wp:posOffset>
                </wp:positionH>
                <wp:positionV relativeFrom="paragraph">
                  <wp:posOffset>297180</wp:posOffset>
                </wp:positionV>
                <wp:extent cx="342900" cy="635"/>
                <wp:effectExtent l="0" t="76200" r="0" b="75565"/>
                <wp:wrapNone/>
                <wp:docPr id="494" name="直线 1543"/>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line">
                          <a:avLst/>
                        </a:prstGeom>
                        <a:noFill/>
                        <a:ln w="9525">
                          <a:solidFill>
                            <a:srgbClr val="000000"/>
                          </a:solidFill>
                          <a:round/>
                          <a:tailEnd type="triangle" w="med" len="med"/>
                        </a:ln>
                      </wps:spPr>
                      <wps:bodyPr/>
                    </wps:wsp>
                  </a:graphicData>
                </a:graphic>
              </wp:anchor>
            </w:drawing>
          </mc:Choice>
          <mc:Fallback>
            <w:pict>
              <v:line id="直线 1543" o:spid="_x0000_s1026" o:spt="20" style="position:absolute;left:0pt;margin-left:117pt;margin-top:23.4pt;height:0.05pt;width:27pt;z-index:251827200;mso-width-relative:page;mso-height-relative:page;" filled="f" stroked="t" coordsize="21600,21600" o:gfxdata="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kNLjtkAAAAJAQAADwAA&#10;AAAAAAABACAAAAAiAAAAZHJzL2Rvd25yZXYueG1sUEsBAhQAFAAAAAgAh07iQAxebBPcAQAAhwMA&#10;AA4AAAAAAAAAAQAgAAAAKAEAAGRycy9lMm9Eb2MueG1sUEsFBgAAAAAGAAYAWQEAAHYFAAAAAA==&#10;">
                <v:fill on="f" focussize="0,0"/>
                <v:stroke color="#000000" joinstyle="round" endarrow="block"/>
                <v:imagedata o:title=""/>
                <o:lock v:ext="edit" aspectratio="f"/>
              </v:line>
            </w:pict>
          </mc:Fallback>
        </mc:AlternateContent>
      </w:r>
    </w:p>
    <w:p>
      <w:pPr>
        <w:spacing w:line="600" w:lineRule="auto"/>
        <w:ind w:firstLine="1120" w:firstLineChars="400"/>
        <w:rPr>
          <w:rFonts w:ascii="仿宋" w:hAnsi="仿宋" w:eastAsia="仿宋"/>
          <w:spacing w:val="6"/>
          <w:sz w:val="18"/>
          <w:szCs w:val="18"/>
        </w:rPr>
      </w:pPr>
      <w:r>
        <w:rPr>
          <w:rFonts w:ascii="仿宋" w:hAnsi="仿宋" w:eastAsia="仿宋"/>
          <w:sz w:val="28"/>
          <w:szCs w:val="28"/>
        </w:rPr>
        <mc:AlternateContent>
          <mc:Choice Requires="wps">
            <w:drawing>
              <wp:anchor distT="0" distB="0" distL="114300" distR="114300" simplePos="0" relativeHeight="251817984" behindDoc="0" locked="0" layoutInCell="1" allowOverlap="1">
                <wp:simplePos x="0" y="0"/>
                <wp:positionH relativeFrom="column">
                  <wp:posOffset>1943100</wp:posOffset>
                </wp:positionH>
                <wp:positionV relativeFrom="paragraph">
                  <wp:posOffset>297180</wp:posOffset>
                </wp:positionV>
                <wp:extent cx="914400" cy="412750"/>
                <wp:effectExtent l="0" t="0" r="0" b="6350"/>
                <wp:wrapNone/>
                <wp:docPr id="491" name="矩形 1548"/>
                <wp:cNvGraphicFramePr/>
                <a:graphic xmlns:a="http://schemas.openxmlformats.org/drawingml/2006/main">
                  <a:graphicData uri="http://schemas.microsoft.com/office/word/2010/wordprocessingShape">
                    <wps:wsp>
                      <wps:cNvSpPr>
                        <a:spLocks noChangeArrowheads="1"/>
                      </wps:cNvSpPr>
                      <wps:spPr bwMode="auto">
                        <a:xfrm>
                          <a:off x="0" y="0"/>
                          <a:ext cx="914400" cy="412750"/>
                        </a:xfrm>
                        <a:prstGeom prst="rect">
                          <a:avLst/>
                        </a:prstGeom>
                        <a:solidFill>
                          <a:srgbClr val="FFFFFF"/>
                        </a:solidFill>
                        <a:ln w="9525">
                          <a:solidFill>
                            <a:srgbClr val="000000"/>
                          </a:solidFill>
                          <a:miter lim="200000"/>
                        </a:ln>
                      </wps:spPr>
                      <wps:txbx>
                        <w:txbxContent>
                          <w:p>
                            <w:pPr>
                              <w:rPr>
                                <w:rFonts w:ascii="仿宋" w:hAnsi="仿宋" w:eastAsia="仿宋"/>
                                <w:szCs w:val="21"/>
                              </w:rPr>
                            </w:pPr>
                            <w:r>
                              <w:rPr>
                                <w:rFonts w:hint="eastAsia" w:ascii="仿宋" w:hAnsi="仿宋" w:eastAsia="仿宋"/>
                                <w:szCs w:val="21"/>
                              </w:rPr>
                              <w:t>当班班长和值班调度</w:t>
                            </w:r>
                          </w:p>
                        </w:txbxContent>
                      </wps:txbx>
                      <wps:bodyPr rot="0" vert="horz" wrap="square" lIns="91440" tIns="45720" rIns="91440" bIns="45720" anchor="t" anchorCtr="0" upright="1">
                        <a:noAutofit/>
                      </wps:bodyPr>
                    </wps:wsp>
                  </a:graphicData>
                </a:graphic>
              </wp:anchor>
            </w:drawing>
          </mc:Choice>
          <mc:Fallback>
            <w:pict>
              <v:rect id="矩形 1548" o:spid="_x0000_s1026" o:spt="1" style="position:absolute;left:0pt;margin-left:153pt;margin-top:23.4pt;height:32.5pt;width:72pt;z-index:251817984;mso-width-relative:page;mso-height-relative:page;" fillcolor="#FFFFFF" filled="t" stroked="t" coordsize="21600,21600" o:gfxdata="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hLeVfY&#10;AAAACgEAAA8AAAAAAAAAAQAgAAAAIgAAAGRycy9kb3ducmV2LnhtbFBLAQIUABQAAAAIAIdO4kBf&#10;vz2ZIAIAADAEAAAOAAAAAAAAAAEAIAAAACcBAABkcnMvZTJvRG9jLnhtbFBLBQYAAAAABgAGAFkB&#10;AAC5BQAAAAA=&#10;">
                <v:fill on="t" focussize="0,0"/>
                <v:stroke color="#000000" miterlimit="2" joinstyle="miter"/>
                <v:imagedata o:title=""/>
                <o:lock v:ext="edit" aspectratio="f"/>
                <v:textbox>
                  <w:txbxContent>
                    <w:p>
                      <w:pPr>
                        <w:rPr>
                          <w:rFonts w:ascii="仿宋" w:hAnsi="仿宋" w:eastAsia="仿宋"/>
                          <w:szCs w:val="21"/>
                        </w:rPr>
                      </w:pPr>
                      <w:r>
                        <w:rPr>
                          <w:rFonts w:hint="eastAsia" w:ascii="仿宋" w:hAnsi="仿宋" w:eastAsia="仿宋"/>
                          <w:szCs w:val="21"/>
                        </w:rPr>
                        <w:t>当班班长和值班调度</w:t>
                      </w:r>
                    </w:p>
                  </w:txbxContent>
                </v:textbox>
              </v:rect>
            </w:pict>
          </mc:Fallback>
        </mc:AlternateContent>
      </w:r>
      <w:r>
        <w:rPr>
          <w:rFonts w:hint="eastAsia" w:ascii="仿宋" w:hAnsi="仿宋" w:eastAsia="仿宋"/>
          <w:spacing w:val="6"/>
          <w:sz w:val="18"/>
          <w:szCs w:val="18"/>
        </w:rPr>
        <w:t>报告</w:t>
      </w:r>
      <w:r>
        <w:rPr>
          <w:rFonts w:ascii="仿宋" w:hAnsi="仿宋" w:eastAsia="仿宋"/>
          <w:spacing w:val="6"/>
          <w:sz w:val="18"/>
          <w:szCs w:val="18"/>
        </w:rPr>
        <w:tab/>
      </w:r>
    </w:p>
    <w:p>
      <w:pPr>
        <w:spacing w:line="600" w:lineRule="auto"/>
        <w:ind w:firstLine="1120" w:firstLineChars="400"/>
        <w:rPr>
          <w:rFonts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826176" behindDoc="0" locked="0" layoutInCell="1" allowOverlap="1">
                <wp:simplePos x="0" y="0"/>
                <wp:positionH relativeFrom="column">
                  <wp:posOffset>3266440</wp:posOffset>
                </wp:positionH>
                <wp:positionV relativeFrom="paragraph">
                  <wp:posOffset>577215</wp:posOffset>
                </wp:positionV>
                <wp:extent cx="1076325" cy="495300"/>
                <wp:effectExtent l="0" t="0" r="28575" b="19050"/>
                <wp:wrapNone/>
                <wp:docPr id="483" name="矩形 1554"/>
                <wp:cNvGraphicFramePr/>
                <a:graphic xmlns:a="http://schemas.openxmlformats.org/drawingml/2006/main">
                  <a:graphicData uri="http://schemas.microsoft.com/office/word/2010/wordprocessingShape">
                    <wps:wsp>
                      <wps:cNvSpPr>
                        <a:spLocks noChangeArrowheads="1"/>
                      </wps:cNvSpPr>
                      <wps:spPr bwMode="auto">
                        <a:xfrm>
                          <a:off x="0" y="0"/>
                          <a:ext cx="1076325" cy="495300"/>
                        </a:xfrm>
                        <a:prstGeom prst="rect">
                          <a:avLst/>
                        </a:prstGeom>
                        <a:solidFill>
                          <a:srgbClr val="FFFFFF"/>
                        </a:solidFill>
                        <a:ln w="9525">
                          <a:solidFill>
                            <a:srgbClr val="000000"/>
                          </a:solidFill>
                          <a:miter lim="200000"/>
                        </a:ln>
                      </wps:spPr>
                      <wps:txbx>
                        <w:txbxContent>
                          <w:p>
                            <w:pPr>
                              <w:rPr>
                                <w:rFonts w:ascii="仿宋" w:hAnsi="仿宋" w:eastAsia="仿宋"/>
                                <w:szCs w:val="21"/>
                              </w:rPr>
                            </w:pPr>
                            <w:r>
                              <w:rPr>
                                <w:rFonts w:hint="eastAsia" w:ascii="仿宋" w:hAnsi="仿宋" w:eastAsia="仿宋"/>
                                <w:szCs w:val="21"/>
                              </w:rPr>
                              <w:t>119、120和有关环保部门</w:t>
                            </w:r>
                          </w:p>
                        </w:txbxContent>
                      </wps:txbx>
                      <wps:bodyPr rot="0" vert="horz" wrap="square" lIns="91440" tIns="45720" rIns="91440" bIns="45720" anchor="t" anchorCtr="0" upright="1">
                        <a:noAutofit/>
                      </wps:bodyPr>
                    </wps:wsp>
                  </a:graphicData>
                </a:graphic>
              </wp:anchor>
            </w:drawing>
          </mc:Choice>
          <mc:Fallback>
            <w:pict>
              <v:rect id="矩形 1554" o:spid="_x0000_s1026" o:spt="1" style="position:absolute;left:0pt;margin-left:257.2pt;margin-top:45.45pt;height:39pt;width:84.75pt;z-index:251826176;mso-width-relative:page;mso-height-relative:page;" fillcolor="#FFFFFF" filled="t" stroked="t" coordsize="21600,21600" o:gfxdata="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oOAq&#10;BdkAAAAKAQAADwAAAAAAAAABACAAAAAiAAAAZHJzL2Rvd25yZXYueG1sUEsBAhQAFAAAAAgAh07i&#10;QHEQ6cohAgAAMQQAAA4AAAAAAAAAAQAgAAAAKAEAAGRycy9lMm9Eb2MueG1sUEsFBgAAAAAGAAYA&#10;WQEAALsFAAAAAA==&#10;">
                <v:fill on="t" focussize="0,0"/>
                <v:stroke color="#000000" miterlimit="2" joinstyle="miter"/>
                <v:imagedata o:title=""/>
                <o:lock v:ext="edit" aspectratio="f"/>
                <v:textbox>
                  <w:txbxContent>
                    <w:p>
                      <w:pPr>
                        <w:rPr>
                          <w:rFonts w:ascii="仿宋" w:hAnsi="仿宋" w:eastAsia="仿宋"/>
                          <w:szCs w:val="21"/>
                        </w:rPr>
                      </w:pPr>
                      <w:r>
                        <w:rPr>
                          <w:rFonts w:hint="eastAsia" w:ascii="仿宋" w:hAnsi="仿宋" w:eastAsia="仿宋"/>
                          <w:szCs w:val="21"/>
                        </w:rPr>
                        <w:t>119、120和有关环保部门</w:t>
                      </w:r>
                    </w:p>
                  </w:txbxContent>
                </v:textbox>
              </v:rect>
            </w:pict>
          </mc:Fallback>
        </mc:AlternateContent>
      </w:r>
      <w:r>
        <w:rPr>
          <w:rFonts w:ascii="仿宋" w:hAnsi="仿宋" w:eastAsia="仿宋"/>
          <w:sz w:val="28"/>
          <w:szCs w:val="28"/>
        </w:rPr>
        <mc:AlternateContent>
          <mc:Choice Requires="wps">
            <w:drawing>
              <wp:anchor distT="0" distB="0" distL="113665" distR="113665" simplePos="0" relativeHeight="251841536" behindDoc="0" locked="0" layoutInCell="1" allowOverlap="1">
                <wp:simplePos x="0" y="0"/>
                <wp:positionH relativeFrom="column">
                  <wp:posOffset>2395220</wp:posOffset>
                </wp:positionH>
                <wp:positionV relativeFrom="paragraph">
                  <wp:posOffset>353695</wp:posOffset>
                </wp:positionV>
                <wp:extent cx="0" cy="418465"/>
                <wp:effectExtent l="76200" t="0" r="38100" b="38735"/>
                <wp:wrapNone/>
                <wp:docPr id="489" name="直线 1551"/>
                <wp:cNvGraphicFramePr/>
                <a:graphic xmlns:a="http://schemas.openxmlformats.org/drawingml/2006/main">
                  <a:graphicData uri="http://schemas.microsoft.com/office/word/2010/wordprocessingShape">
                    <wps:wsp>
                      <wps:cNvCnPr>
                        <a:cxnSpLocks noChangeShapeType="1"/>
                      </wps:cNvCnPr>
                      <wps:spPr bwMode="auto">
                        <a:xfrm flipH="1">
                          <a:off x="0" y="0"/>
                          <a:ext cx="0" cy="418465"/>
                        </a:xfrm>
                        <a:prstGeom prst="line">
                          <a:avLst/>
                        </a:prstGeom>
                        <a:noFill/>
                        <a:ln w="9525">
                          <a:solidFill>
                            <a:srgbClr val="000000"/>
                          </a:solidFill>
                          <a:round/>
                          <a:tailEnd type="triangle" w="med" len="med"/>
                        </a:ln>
                      </wps:spPr>
                      <wps:bodyPr/>
                    </wps:wsp>
                  </a:graphicData>
                </a:graphic>
              </wp:anchor>
            </w:drawing>
          </mc:Choice>
          <mc:Fallback>
            <w:pict>
              <v:line id="直线 1551" o:spid="_x0000_s1026" o:spt="20" style="position:absolute;left:0pt;flip:x;margin-left:188.6pt;margin-top:27.85pt;height:32.95pt;width:0pt;z-index:251841536;mso-width-relative:page;mso-height-relative:page;" filled="f" stroked="t" coordsize="21600,21600" o:gfxdata="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KZaWK2AAAAAoBAAAP&#10;AAAAAAAAAAEAIAAAACIAAABkcnMvZG93bnJldi54bWxQSwECFAAUAAAACACHTuJAjk5FZt8BAACP&#10;AwAADgAAAAAAAAABACAAAAAnAQAAZHJzL2Uyb0RvYy54bWxQSwUGAAAAAAYABgBZAQAAeAUAAAAA&#10;">
                <v:fill on="f" focussize="0,0"/>
                <v:stroke color="#000000" joinstyle="round" endarrow="block"/>
                <v:imagedata o:title=""/>
                <o:lock v:ext="edit" aspectratio="f"/>
              </v:line>
            </w:pict>
          </mc:Fallback>
        </mc:AlternateContent>
      </w:r>
      <w:r>
        <w:rPr>
          <w:rFonts w:ascii="仿宋" w:hAnsi="仿宋" w:eastAsia="仿宋"/>
          <w:sz w:val="28"/>
          <w:szCs w:val="28"/>
        </w:rPr>
        <mc:AlternateContent>
          <mc:Choice Requires="wps">
            <w:drawing>
              <wp:anchor distT="0" distB="0" distL="113665" distR="113665" simplePos="0" relativeHeight="251843584" behindDoc="0" locked="0" layoutInCell="1" allowOverlap="1">
                <wp:simplePos x="0" y="0"/>
                <wp:positionH relativeFrom="column">
                  <wp:posOffset>-107315</wp:posOffset>
                </wp:positionH>
                <wp:positionV relativeFrom="paragraph">
                  <wp:posOffset>234950</wp:posOffset>
                </wp:positionV>
                <wp:extent cx="0" cy="3723005"/>
                <wp:effectExtent l="76200" t="38100" r="38100" b="0"/>
                <wp:wrapNone/>
                <wp:docPr id="487" name="直线 1549"/>
                <wp:cNvGraphicFramePr/>
                <a:graphic xmlns:a="http://schemas.openxmlformats.org/drawingml/2006/main">
                  <a:graphicData uri="http://schemas.microsoft.com/office/word/2010/wordprocessingShape">
                    <wps:wsp>
                      <wps:cNvCnPr>
                        <a:cxnSpLocks noChangeShapeType="1"/>
                      </wps:cNvCnPr>
                      <wps:spPr bwMode="auto">
                        <a:xfrm flipV="1">
                          <a:off x="0" y="0"/>
                          <a:ext cx="0" cy="3723005"/>
                        </a:xfrm>
                        <a:prstGeom prst="line">
                          <a:avLst/>
                        </a:prstGeom>
                        <a:noFill/>
                        <a:ln w="9525">
                          <a:solidFill>
                            <a:srgbClr val="000000"/>
                          </a:solidFill>
                          <a:round/>
                          <a:tailEnd type="triangle" w="med" len="med"/>
                        </a:ln>
                      </wps:spPr>
                      <wps:bodyPr/>
                    </wps:wsp>
                  </a:graphicData>
                </a:graphic>
              </wp:anchor>
            </w:drawing>
          </mc:Choice>
          <mc:Fallback>
            <w:pict>
              <v:line id="直线 1549" o:spid="_x0000_s1026" o:spt="20" style="position:absolute;left:0pt;flip:y;margin-left:-8.45pt;margin-top:18.5pt;height:293.15pt;width:0pt;z-index:251843584;mso-width-relative:page;mso-height-relative:page;" filled="f" stroked="t" coordsize="21600,21600" o:gfxdata="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IYwt79kAAAAKAQAA&#10;DwAAAAAAAAABACAAAAAiAAAAZHJzL2Rvd25yZXYueG1sUEsBAhQAFAAAAAgAh07iQOOoAA3fAQAA&#10;kAMAAA4AAAAAAAAAAQAgAAAAKAEAAGRycy9lMm9Eb2MueG1sUEsFBgAAAAAGAAYAWQEAAHkFAAAA&#10;AA==&#10;">
                <v:fill on="f" focussize="0,0"/>
                <v:stroke color="#000000" joinstyle="round" endarrow="block"/>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840512" behindDoc="0" locked="0" layoutInCell="1" allowOverlap="1">
                <wp:simplePos x="0" y="0"/>
                <wp:positionH relativeFrom="column">
                  <wp:posOffset>1038225</wp:posOffset>
                </wp:positionH>
                <wp:positionV relativeFrom="paragraph">
                  <wp:posOffset>4445</wp:posOffset>
                </wp:positionV>
                <wp:extent cx="914400" cy="635"/>
                <wp:effectExtent l="0" t="76200" r="0" b="75565"/>
                <wp:wrapNone/>
                <wp:docPr id="488" name="直线 1552"/>
                <wp:cNvGraphicFramePr/>
                <a:graphic xmlns:a="http://schemas.openxmlformats.org/drawingml/2006/main">
                  <a:graphicData uri="http://schemas.microsoft.com/office/word/2010/wordprocessingShape">
                    <wps:wsp>
                      <wps:cNvCnPr>
                        <a:cxnSpLocks noChangeShapeType="1"/>
                      </wps:cNvCnPr>
                      <wps:spPr bwMode="auto">
                        <a:xfrm>
                          <a:off x="0" y="0"/>
                          <a:ext cx="914400" cy="635"/>
                        </a:xfrm>
                        <a:prstGeom prst="line">
                          <a:avLst/>
                        </a:prstGeom>
                        <a:noFill/>
                        <a:ln w="9525">
                          <a:solidFill>
                            <a:srgbClr val="000000"/>
                          </a:solidFill>
                          <a:round/>
                          <a:tailEnd type="triangle" w="med" len="med"/>
                        </a:ln>
                      </wps:spPr>
                      <wps:bodyPr/>
                    </wps:wsp>
                  </a:graphicData>
                </a:graphic>
              </wp:anchor>
            </w:drawing>
          </mc:Choice>
          <mc:Fallback>
            <w:pict>
              <v:line id="直线 1552" o:spid="_x0000_s1026" o:spt="20" style="position:absolute;left:0pt;margin-left:81.75pt;margin-top:0.35pt;height:0.05pt;width:72pt;z-index:251840512;mso-width-relative:page;mso-height-relative:page;" filled="f" stroked="t" coordsize="21600,21600" o:gfxdata="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JAR9QAAAAFAQAADwAAAAAAAAAB&#10;ACAAAAAiAAAAZHJzL2Rvd25yZXYueG1sUEsBAhQAFAAAAAgAh07iQG3xSnXbAQAAhwMAAA4AAAAA&#10;AAAAAQAgAAAAIwEAAGRycy9lMm9Eb2MueG1sUEsFBgAAAAAGAAYAWQEAAHAFAAAAAA==&#10;">
                <v:fill on="f" focussize="0,0"/>
                <v:stroke color="#000000" joinstyle="round" endarrow="block"/>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844608" behindDoc="0" locked="0" layoutInCell="1" allowOverlap="1">
                <wp:simplePos x="0" y="0"/>
                <wp:positionH relativeFrom="column">
                  <wp:posOffset>-104775</wp:posOffset>
                </wp:positionH>
                <wp:positionV relativeFrom="paragraph">
                  <wp:posOffset>253365</wp:posOffset>
                </wp:positionV>
                <wp:extent cx="2057400" cy="635"/>
                <wp:effectExtent l="0" t="76200" r="0" b="75565"/>
                <wp:wrapNone/>
                <wp:docPr id="486" name="直线 1550"/>
                <wp:cNvGraphicFramePr/>
                <a:graphic xmlns:a="http://schemas.openxmlformats.org/drawingml/2006/main">
                  <a:graphicData uri="http://schemas.microsoft.com/office/word/2010/wordprocessingShape">
                    <wps:wsp>
                      <wps:cNvCnPr>
                        <a:cxnSpLocks noChangeShapeType="1"/>
                      </wps:cNvCnPr>
                      <wps:spPr bwMode="auto">
                        <a:xfrm>
                          <a:off x="0" y="0"/>
                          <a:ext cx="2057400" cy="635"/>
                        </a:xfrm>
                        <a:prstGeom prst="line">
                          <a:avLst/>
                        </a:prstGeom>
                        <a:noFill/>
                        <a:ln w="9525">
                          <a:solidFill>
                            <a:srgbClr val="000000"/>
                          </a:solidFill>
                          <a:round/>
                          <a:tailEnd type="triangle" w="med" len="med"/>
                        </a:ln>
                      </wps:spPr>
                      <wps:bodyPr/>
                    </wps:wsp>
                  </a:graphicData>
                </a:graphic>
              </wp:anchor>
            </w:drawing>
          </mc:Choice>
          <mc:Fallback>
            <w:pict>
              <v:line id="直线 1550" o:spid="_x0000_s1026" o:spt="20" style="position:absolute;left:0pt;margin-left:-8.25pt;margin-top:19.95pt;height:0.05pt;width:162pt;z-index:251844608;mso-width-relative:page;mso-height-relative:page;" filled="f" stroked="t" coordsize="21600,21600" o:gfxdata="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XkxfT2gAAAAkBAAAP&#10;AAAAAAAAAAEAIAAAACIAAABkcnMvZG93bnJldi54bWxQSwECFAAUAAAACACHTuJAeAIqXt0BAACI&#10;AwAADgAAAAAAAAABACAAAAApAQAAZHJzL2Uyb0RvYy54bWxQSwUGAAAAAAYABgBZAQAAeAUAAAAA&#10;">
                <v:fill on="f" focussize="0,0"/>
                <v:stroke color="#000000" joinstyle="round" endarrow="block"/>
                <v:imagedata o:title=""/>
                <o:lock v:ext="edit" aspectratio="f"/>
              </v:line>
            </w:pict>
          </mc:Fallback>
        </mc:AlternateContent>
      </w:r>
    </w:p>
    <w:p>
      <w:pPr>
        <w:tabs>
          <w:tab w:val="left" w:pos="6495"/>
        </w:tabs>
        <w:spacing w:line="600" w:lineRule="auto"/>
        <w:ind w:firstLine="560" w:firstLineChars="200"/>
        <w:rPr>
          <w:rFonts w:ascii="仿宋" w:hAnsi="仿宋" w:eastAsia="仿宋"/>
          <w:sz w:val="28"/>
          <w:szCs w:val="28"/>
        </w:rPr>
      </w:pPr>
      <w:r>
        <w:rPr>
          <w:rFonts w:ascii="仿宋" w:hAnsi="仿宋" w:eastAsia="仿宋"/>
          <w:sz w:val="28"/>
          <w:szCs w:val="28"/>
        </w:rPr>
        <mc:AlternateContent>
          <mc:Choice Requires="wps">
            <w:drawing>
              <wp:anchor distT="0" distB="0" distL="113665" distR="113665" simplePos="0" relativeHeight="251834368" behindDoc="0" locked="0" layoutInCell="1" allowOverlap="1">
                <wp:simplePos x="0" y="0"/>
                <wp:positionH relativeFrom="column">
                  <wp:posOffset>3783330</wp:posOffset>
                </wp:positionH>
                <wp:positionV relativeFrom="paragraph">
                  <wp:posOffset>514985</wp:posOffset>
                </wp:positionV>
                <wp:extent cx="0" cy="485775"/>
                <wp:effectExtent l="76200" t="0" r="38100" b="28575"/>
                <wp:wrapNone/>
                <wp:docPr id="482" name="直线 1555"/>
                <wp:cNvGraphicFramePr/>
                <a:graphic xmlns:a="http://schemas.openxmlformats.org/drawingml/2006/main">
                  <a:graphicData uri="http://schemas.microsoft.com/office/word/2010/wordprocessingShape">
                    <wps:wsp>
                      <wps:cNvCnPr>
                        <a:cxnSpLocks noChangeShapeType="1"/>
                      </wps:cNvCnPr>
                      <wps:spPr bwMode="auto">
                        <a:xfrm>
                          <a:off x="0" y="0"/>
                          <a:ext cx="0" cy="485775"/>
                        </a:xfrm>
                        <a:prstGeom prst="line">
                          <a:avLst/>
                        </a:prstGeom>
                        <a:noFill/>
                        <a:ln w="9525">
                          <a:solidFill>
                            <a:srgbClr val="000000"/>
                          </a:solidFill>
                          <a:round/>
                          <a:tailEnd type="triangle" w="med" len="med"/>
                        </a:ln>
                      </wps:spPr>
                      <wps:bodyPr/>
                    </wps:wsp>
                  </a:graphicData>
                </a:graphic>
              </wp:anchor>
            </w:drawing>
          </mc:Choice>
          <mc:Fallback>
            <w:pict>
              <v:line id="直线 1555" o:spid="_x0000_s1026" o:spt="20" style="position:absolute;left:0pt;margin-left:297.9pt;margin-top:40.55pt;height:38.25pt;width:0pt;z-index:251834368;mso-width-relative:page;mso-height-relative:page;" filled="f" stroked="t" coordsize="21600,21600" o:gfxdata="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WTfDj9kAAAAKAQAADwAAAAAA&#10;AAABACAAAAAiAAAAZHJzL2Rvd25yZXYueG1sUEsBAhQAFAAAAAgAh07iQEpxkLjZAQAAhQMAAA4A&#10;AAAAAAAAAQAgAAAAKAEAAGRycy9lMm9Eb2MueG1sUEsFBgAAAAAGAAYAWQEAAHMFAAAAAA==&#10;">
                <v:fill on="f" focussize="0,0"/>
                <v:stroke color="#000000" joinstyle="round" endarrow="block"/>
                <v:imagedata o:title=""/>
                <o:lock v:ext="edit" aspectratio="f"/>
              </v:line>
            </w:pict>
          </mc:Fallback>
        </mc:AlternateContent>
      </w:r>
      <w:r>
        <w:rPr>
          <w:rFonts w:ascii="仿宋" w:hAnsi="仿宋" w:eastAsia="仿宋"/>
          <w:sz w:val="28"/>
          <w:szCs w:val="28"/>
        </w:rPr>
        <mc:AlternateContent>
          <mc:Choice Requires="wps">
            <w:drawing>
              <wp:anchor distT="0" distB="0" distL="113665" distR="113665" simplePos="0" relativeHeight="251829248" behindDoc="0" locked="0" layoutInCell="1" allowOverlap="1">
                <wp:simplePos x="0" y="0"/>
                <wp:positionH relativeFrom="column">
                  <wp:posOffset>2399665</wp:posOffset>
                </wp:positionH>
                <wp:positionV relativeFrom="paragraph">
                  <wp:posOffset>505460</wp:posOffset>
                </wp:positionV>
                <wp:extent cx="0" cy="571500"/>
                <wp:effectExtent l="76200" t="0" r="38100" b="38100"/>
                <wp:wrapNone/>
                <wp:docPr id="485" name="直线 1556"/>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tailEnd type="triangle" w="med" len="med"/>
                        </a:ln>
                      </wps:spPr>
                      <wps:bodyPr/>
                    </wps:wsp>
                  </a:graphicData>
                </a:graphic>
              </wp:anchor>
            </w:drawing>
          </mc:Choice>
          <mc:Fallback>
            <w:pict>
              <v:line id="直线 1556" o:spid="_x0000_s1026" o:spt="20" style="position:absolute;left:0pt;margin-left:188.95pt;margin-top:39.8pt;height:45pt;width:0pt;z-index:251829248;mso-width-relative:page;mso-height-relative:page;" filled="f" stroked="t" coordsize="21600,21600" o:gfxdata="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UeFGV2AAAAAoBAAAPAAAAAAAA&#10;AAEAIAAAACIAAABkcnMvZG93bnJldi54bWxQSwECFAAUAAAACACHTuJA+O/ondkBAACFAwAADgAA&#10;AAAAAAABACAAAAAnAQAAZHJzL2Uyb0RvYy54bWxQSwUGAAAAAAYABgBZAQAAcgUAAAAA&#10;">
                <v:fill on="f" focussize="0,0"/>
                <v:stroke color="#000000" joinstyle="round" endarrow="block"/>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816960" behindDoc="0" locked="0" layoutInCell="1" allowOverlap="1">
                <wp:simplePos x="0" y="0"/>
                <wp:positionH relativeFrom="column">
                  <wp:posOffset>1819275</wp:posOffset>
                </wp:positionH>
                <wp:positionV relativeFrom="paragraph">
                  <wp:posOffset>200660</wp:posOffset>
                </wp:positionV>
                <wp:extent cx="1038225" cy="292100"/>
                <wp:effectExtent l="0" t="0" r="9525" b="0"/>
                <wp:wrapNone/>
                <wp:docPr id="484" name="矩形 1553"/>
                <wp:cNvGraphicFramePr/>
                <a:graphic xmlns:a="http://schemas.openxmlformats.org/drawingml/2006/main">
                  <a:graphicData uri="http://schemas.microsoft.com/office/word/2010/wordprocessingShape">
                    <wps:wsp>
                      <wps:cNvSpPr>
                        <a:spLocks noChangeArrowheads="1"/>
                      </wps:cNvSpPr>
                      <wps:spPr bwMode="auto">
                        <a:xfrm>
                          <a:off x="0" y="0"/>
                          <a:ext cx="1038225" cy="292100"/>
                        </a:xfrm>
                        <a:prstGeom prst="rect">
                          <a:avLst/>
                        </a:prstGeom>
                        <a:solidFill>
                          <a:srgbClr val="FFFFFF"/>
                        </a:solidFill>
                        <a:ln w="9525">
                          <a:solidFill>
                            <a:srgbClr val="000000"/>
                          </a:solidFill>
                          <a:miter lim="200000"/>
                        </a:ln>
                      </wps:spPr>
                      <wps:txbx>
                        <w:txbxContent>
                          <w:p>
                            <w:pPr>
                              <w:rPr>
                                <w:rFonts w:ascii="仿宋" w:hAnsi="仿宋" w:eastAsia="仿宋"/>
                                <w:szCs w:val="21"/>
                              </w:rPr>
                            </w:pPr>
                            <w:r>
                              <w:rPr>
                                <w:rFonts w:hint="eastAsia" w:ascii="仿宋" w:hAnsi="仿宋" w:eastAsia="仿宋"/>
                                <w:szCs w:val="21"/>
                              </w:rPr>
                              <w:t>确认自身安全</w:t>
                            </w:r>
                          </w:p>
                          <w:p>
                            <w:pPr>
                              <w:ind w:firstLine="360"/>
                              <w:jc w:val="center"/>
                              <w:rPr>
                                <w:sz w:val="18"/>
                                <w:szCs w:val="18"/>
                              </w:rPr>
                            </w:pPr>
                          </w:p>
                        </w:txbxContent>
                      </wps:txbx>
                      <wps:bodyPr rot="0" vert="horz" wrap="square" lIns="91440" tIns="45720" rIns="91440" bIns="45720" anchor="t" anchorCtr="0" upright="1">
                        <a:noAutofit/>
                      </wps:bodyPr>
                    </wps:wsp>
                  </a:graphicData>
                </a:graphic>
              </wp:anchor>
            </w:drawing>
          </mc:Choice>
          <mc:Fallback>
            <w:pict>
              <v:rect id="矩形 1553" o:spid="_x0000_s1026" o:spt="1" style="position:absolute;left:0pt;margin-left:143.25pt;margin-top:15.8pt;height:23pt;width:81.75pt;z-index:251816960;mso-width-relative:page;mso-height-relative:page;" fillcolor="#FFFFFF" filled="t" stroked="t" coordsize="21600,21600" o:gfxdata="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DlW/u2QAA&#10;AAkBAAAPAAAAAAAAAAEAIAAAACIAAABkcnMvZG93bnJldi54bWxQSwECFAAUAAAACACHTuJAL1PF&#10;5B0CAAAxBAAADgAAAAAAAAABACAAAAAoAQAAZHJzL2Uyb0RvYy54bWxQSwUGAAAAAAYABgBZAQAA&#10;twUAAAAA&#10;">
                <v:fill on="t" focussize="0,0"/>
                <v:stroke color="#000000" miterlimit="2" joinstyle="miter"/>
                <v:imagedata o:title=""/>
                <o:lock v:ext="edit" aspectratio="f"/>
                <v:textbox>
                  <w:txbxContent>
                    <w:p>
                      <w:pPr>
                        <w:rPr>
                          <w:rFonts w:ascii="仿宋" w:hAnsi="仿宋" w:eastAsia="仿宋"/>
                          <w:szCs w:val="21"/>
                        </w:rPr>
                      </w:pPr>
                      <w:r>
                        <w:rPr>
                          <w:rFonts w:hint="eastAsia" w:ascii="仿宋" w:hAnsi="仿宋" w:eastAsia="仿宋"/>
                          <w:szCs w:val="21"/>
                        </w:rPr>
                        <w:t>确认自身安全</w:t>
                      </w:r>
                    </w:p>
                    <w:p>
                      <w:pPr>
                        <w:ind w:firstLine="360"/>
                        <w:jc w:val="center"/>
                        <w:rPr>
                          <w:sz w:val="18"/>
                          <w:szCs w:val="18"/>
                        </w:rPr>
                      </w:pPr>
                    </w:p>
                  </w:txbxContent>
                </v:textbox>
              </v:rect>
            </w:pict>
          </mc:Fallback>
        </mc:AlternateContent>
      </w:r>
      <w:r>
        <w:rPr>
          <w:rFonts w:hint="eastAsia" w:ascii="仿宋" w:hAnsi="仿宋" w:eastAsia="仿宋"/>
          <w:sz w:val="28"/>
          <w:szCs w:val="28"/>
        </w:rPr>
        <w:tab/>
      </w:r>
    </w:p>
    <w:p>
      <w:pPr>
        <w:tabs>
          <w:tab w:val="left" w:pos="5535"/>
        </w:tabs>
        <w:spacing w:line="600" w:lineRule="auto"/>
        <w:ind w:firstLine="560" w:firstLineChars="200"/>
        <w:rPr>
          <w:rFonts w:ascii="仿宋" w:hAnsi="仿宋" w:eastAsia="仿宋"/>
          <w:sz w:val="28"/>
          <w:szCs w:val="28"/>
        </w:rPr>
      </w:pPr>
      <w:r>
        <w:rPr>
          <w:rFonts w:hint="eastAsia" w:ascii="仿宋" w:hAnsi="仿宋" w:eastAsia="仿宋"/>
          <w:sz w:val="28"/>
          <w:szCs w:val="28"/>
        </w:rPr>
        <w:tab/>
      </w:r>
      <w:r>
        <w:rPr>
          <w:rFonts w:hint="eastAsia" w:ascii="仿宋" w:hAnsi="仿宋" w:eastAsia="仿宋"/>
          <w:szCs w:val="21"/>
        </w:rPr>
        <w:t>是</w:t>
      </w:r>
    </w:p>
    <w:p>
      <w:pPr>
        <w:spacing w:line="600" w:lineRule="auto"/>
        <w:ind w:firstLine="560" w:firstLineChars="200"/>
        <w:rPr>
          <w:rFonts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824128" behindDoc="0" locked="0" layoutInCell="1" allowOverlap="1">
                <wp:simplePos x="0" y="0"/>
                <wp:positionH relativeFrom="column">
                  <wp:posOffset>3067685</wp:posOffset>
                </wp:positionH>
                <wp:positionV relativeFrom="paragraph">
                  <wp:posOffset>10795</wp:posOffset>
                </wp:positionV>
                <wp:extent cx="1457325" cy="847725"/>
                <wp:effectExtent l="19050" t="19050" r="9525" b="28575"/>
                <wp:wrapNone/>
                <wp:docPr id="479" name="流程图: 决策 1558"/>
                <wp:cNvGraphicFramePr/>
                <a:graphic xmlns:a="http://schemas.openxmlformats.org/drawingml/2006/main">
                  <a:graphicData uri="http://schemas.microsoft.com/office/word/2010/wordprocessingShape">
                    <wps:wsp>
                      <wps:cNvSpPr>
                        <a:spLocks noChangeArrowheads="1"/>
                      </wps:cNvSpPr>
                      <wps:spPr bwMode="auto">
                        <a:xfrm>
                          <a:off x="0" y="0"/>
                          <a:ext cx="1457325" cy="847725"/>
                        </a:xfrm>
                        <a:prstGeom prst="flowChartDecision">
                          <a:avLst/>
                        </a:prstGeom>
                        <a:solidFill>
                          <a:srgbClr val="FFFFFF"/>
                        </a:solidFill>
                        <a:ln w="9525">
                          <a:solidFill>
                            <a:srgbClr val="000000"/>
                          </a:solidFill>
                          <a:miter lim="200000"/>
                        </a:ln>
                      </wps:spPr>
                      <wps:txbx>
                        <w:txbxContent>
                          <w:p>
                            <w:pPr>
                              <w:rPr>
                                <w:sz w:val="18"/>
                                <w:szCs w:val="18"/>
                              </w:rPr>
                            </w:pPr>
                            <w:r>
                              <w:rPr>
                                <w:rFonts w:hint="eastAsia" w:ascii="仿宋" w:hAnsi="仿宋" w:eastAsia="仿宋"/>
                                <w:szCs w:val="21"/>
                              </w:rPr>
                              <w:t>火灾、爆炸、污</w:t>
                            </w:r>
                            <w:r>
                              <w:rPr>
                                <w:rFonts w:hint="eastAsia"/>
                                <w:sz w:val="18"/>
                                <w:szCs w:val="18"/>
                              </w:rPr>
                              <w:t>染</w:t>
                            </w:r>
                          </w:p>
                        </w:txbxContent>
                      </wps:txbx>
                      <wps:bodyPr rot="0" vert="horz" wrap="square" lIns="91440" tIns="45720" rIns="91440" bIns="45720" anchor="t" anchorCtr="0" upright="1">
                        <a:noAutofit/>
                      </wps:bodyPr>
                    </wps:wsp>
                  </a:graphicData>
                </a:graphic>
              </wp:anchor>
            </w:drawing>
          </mc:Choice>
          <mc:Fallback>
            <w:pict>
              <v:shape id="流程图: 决策 1558" o:spid="_x0000_s1026" o:spt="110" type="#_x0000_t110" style="position:absolute;left:0pt;margin-left:241.55pt;margin-top:0.85pt;height:66.75pt;width:114.75pt;z-index:251824128;mso-width-relative:page;mso-height-relative:page;" fillcolor="#FFFFFF" filled="t" stroked="t" coordsize="21600,21600" o:gfxdata="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GX5PErWAAAACQEAAA8AAAAAAAAAAQAgAAAAIgAAAGRycy9kb3du&#10;cmV2LnhtbFBLAQIUABQAAAAIAIdO4kBUgga+OgIAAEkEAAAOAAAAAAAAAAEAIAAAACUBAABkcnMv&#10;ZTJvRG9jLnhtbFBLBQYAAAAABgAGAFkBAADRBQAAAAA=&#10;">
                <v:fill on="t" focussize="0,0"/>
                <v:stroke color="#000000" miterlimit="2" joinstyle="miter"/>
                <v:imagedata o:title=""/>
                <o:lock v:ext="edit" aspectratio="f"/>
                <v:textbox>
                  <w:txbxContent>
                    <w:p>
                      <w:pPr>
                        <w:rPr>
                          <w:sz w:val="18"/>
                          <w:szCs w:val="18"/>
                        </w:rPr>
                      </w:pPr>
                      <w:r>
                        <w:rPr>
                          <w:rFonts w:hint="eastAsia" w:ascii="仿宋" w:hAnsi="仿宋" w:eastAsia="仿宋"/>
                          <w:szCs w:val="21"/>
                        </w:rPr>
                        <w:t>火灾、爆炸、污</w:t>
                      </w:r>
                      <w:r>
                        <w:rPr>
                          <w:rFonts w:hint="eastAsia"/>
                          <w:sz w:val="18"/>
                          <w:szCs w:val="18"/>
                        </w:rPr>
                        <w:t>染</w:t>
                      </w:r>
                    </w:p>
                  </w:txbxContent>
                </v:textbox>
              </v:shape>
            </w:pict>
          </mc:Fallback>
        </mc:AlternateContent>
      </w:r>
      <w:r>
        <w:rPr>
          <w:rFonts w:ascii="仿宋" w:hAnsi="仿宋" w:eastAsia="仿宋"/>
          <w:sz w:val="28"/>
          <w:szCs w:val="28"/>
        </w:rPr>
        <mc:AlternateContent>
          <mc:Choice Requires="wps">
            <w:drawing>
              <wp:anchor distT="0" distB="0" distL="114300" distR="114300" simplePos="0" relativeHeight="251830272" behindDoc="0" locked="0" layoutInCell="1" allowOverlap="1">
                <wp:simplePos x="0" y="0"/>
                <wp:positionH relativeFrom="column">
                  <wp:posOffset>2400300</wp:posOffset>
                </wp:positionH>
                <wp:positionV relativeFrom="paragraph">
                  <wp:posOffset>525145</wp:posOffset>
                </wp:positionV>
                <wp:extent cx="1905" cy="457200"/>
                <wp:effectExtent l="76200" t="0" r="55245" b="38100"/>
                <wp:wrapNone/>
                <wp:docPr id="481" name="直线 1560"/>
                <wp:cNvGraphicFramePr/>
                <a:graphic xmlns:a="http://schemas.openxmlformats.org/drawingml/2006/main">
                  <a:graphicData uri="http://schemas.microsoft.com/office/word/2010/wordprocessingShape">
                    <wps:wsp>
                      <wps:cNvCnPr>
                        <a:cxnSpLocks noChangeShapeType="1"/>
                      </wps:cNvCnPr>
                      <wps:spPr bwMode="auto">
                        <a:xfrm>
                          <a:off x="0" y="0"/>
                          <a:ext cx="1905" cy="457200"/>
                        </a:xfrm>
                        <a:prstGeom prst="line">
                          <a:avLst/>
                        </a:prstGeom>
                        <a:noFill/>
                        <a:ln w="9525">
                          <a:solidFill>
                            <a:srgbClr val="000000"/>
                          </a:solidFill>
                          <a:round/>
                          <a:tailEnd type="triangle" w="med" len="med"/>
                        </a:ln>
                      </wps:spPr>
                      <wps:bodyPr/>
                    </wps:wsp>
                  </a:graphicData>
                </a:graphic>
              </wp:anchor>
            </w:drawing>
          </mc:Choice>
          <mc:Fallback>
            <w:pict>
              <v:line id="直线 1560" o:spid="_x0000_s1026" o:spt="20" style="position:absolute;left:0pt;margin-left:189pt;margin-top:41.35pt;height:36pt;width:0.15pt;z-index:251830272;mso-width-relative:page;mso-height-relative:page;" filled="f" stroked="t" coordsize="21600,21600" o:gfxdata="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9QT3f2gAAAAoBAAAP&#10;AAAAAAAAAAEAIAAAACIAAABkcnMvZG93bnJldi54bWxQSwECFAAUAAAACACHTuJAWKfy0d0BAACI&#10;AwAADgAAAAAAAAABACAAAAApAQAAZHJzL2Uyb0RvYy54bWxQSwUGAAAAAAYABgBZAQAAeAUAAAAA&#10;">
                <v:fill on="f" focussize="0,0"/>
                <v:stroke color="#000000" joinstyle="round" endarrow="block"/>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815936" behindDoc="0" locked="0" layoutInCell="1" allowOverlap="1">
                <wp:simplePos x="0" y="0"/>
                <wp:positionH relativeFrom="column">
                  <wp:posOffset>1943100</wp:posOffset>
                </wp:positionH>
                <wp:positionV relativeFrom="paragraph">
                  <wp:posOffset>62865</wp:posOffset>
                </wp:positionV>
                <wp:extent cx="914400" cy="438150"/>
                <wp:effectExtent l="0" t="0" r="0" b="0"/>
                <wp:wrapNone/>
                <wp:docPr id="480" name="矩形 1557"/>
                <wp:cNvGraphicFramePr/>
                <a:graphic xmlns:a="http://schemas.openxmlformats.org/drawingml/2006/main">
                  <a:graphicData uri="http://schemas.microsoft.com/office/word/2010/wordprocessingShape">
                    <wps:wsp>
                      <wps:cNvSpPr>
                        <a:spLocks noChangeArrowheads="1"/>
                      </wps:cNvSpPr>
                      <wps:spPr bwMode="auto">
                        <a:xfrm>
                          <a:off x="0" y="0"/>
                          <a:ext cx="914400" cy="438150"/>
                        </a:xfrm>
                        <a:prstGeom prst="rect">
                          <a:avLst/>
                        </a:prstGeom>
                        <a:solidFill>
                          <a:srgbClr val="FFFFFF"/>
                        </a:solidFill>
                        <a:ln w="9525">
                          <a:solidFill>
                            <a:srgbClr val="000000"/>
                          </a:solidFill>
                          <a:miter lim="200000"/>
                        </a:ln>
                      </wps:spPr>
                      <wps:txbx>
                        <w:txbxContent>
                          <w:p>
                            <w:pPr>
                              <w:rPr>
                                <w:rFonts w:ascii="仿宋" w:hAnsi="仿宋" w:eastAsia="仿宋"/>
                                <w:szCs w:val="21"/>
                              </w:rPr>
                            </w:pPr>
                            <w:r>
                              <w:rPr>
                                <w:rFonts w:hint="eastAsia" w:ascii="仿宋" w:hAnsi="仿宋" w:eastAsia="仿宋"/>
                                <w:szCs w:val="21"/>
                              </w:rPr>
                              <w:t>初步判断事故类型</w:t>
                            </w:r>
                          </w:p>
                        </w:txbxContent>
                      </wps:txbx>
                      <wps:bodyPr rot="0" vert="horz" wrap="square" lIns="91440" tIns="45720" rIns="91440" bIns="45720" anchor="t" anchorCtr="0" upright="1">
                        <a:noAutofit/>
                      </wps:bodyPr>
                    </wps:wsp>
                  </a:graphicData>
                </a:graphic>
              </wp:anchor>
            </w:drawing>
          </mc:Choice>
          <mc:Fallback>
            <w:pict>
              <v:rect id="矩形 1557" o:spid="_x0000_s1026" o:spt="1" style="position:absolute;left:0pt;margin-left:153pt;margin-top:4.95pt;height:34.5pt;width:72pt;z-index:251815936;mso-width-relative:page;mso-height-relative:page;" fillcolor="#FFFFFF" filled="t" stroked="t" coordsize="21600,21600" o:gfxdata="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I6ZwC1wAA&#10;AAgBAAAPAAAAAAAAAAEAIAAAACIAAABkcnMvZG93bnJldi54bWxQSwECFAAUAAAACACHTuJAj0Px&#10;sB8CAAAwBAAADgAAAAAAAAABACAAAAAmAQAAZHJzL2Uyb0RvYy54bWxQSwUGAAAAAAYABgBZAQAA&#10;twUAAAAA&#10;">
                <v:fill on="t" focussize="0,0"/>
                <v:stroke color="#000000" miterlimit="2" joinstyle="miter"/>
                <v:imagedata o:title=""/>
                <o:lock v:ext="edit" aspectratio="f"/>
                <v:textbox>
                  <w:txbxContent>
                    <w:p>
                      <w:pPr>
                        <w:rPr>
                          <w:rFonts w:ascii="仿宋" w:hAnsi="仿宋" w:eastAsia="仿宋"/>
                          <w:szCs w:val="21"/>
                        </w:rPr>
                      </w:pPr>
                      <w:r>
                        <w:rPr>
                          <w:rFonts w:hint="eastAsia" w:ascii="仿宋" w:hAnsi="仿宋" w:eastAsia="仿宋"/>
                          <w:szCs w:val="21"/>
                        </w:rPr>
                        <w:t>初步判断事故类型</w:t>
                      </w:r>
                    </w:p>
                  </w:txbxContent>
                </v:textbox>
              </v:rect>
            </w:pict>
          </mc:Fallback>
        </mc:AlternateContent>
      </w:r>
    </w:p>
    <w:p>
      <w:pPr>
        <w:spacing w:line="600" w:lineRule="auto"/>
        <w:ind w:firstLine="560"/>
        <w:rPr>
          <w:rFonts w:ascii="仿宋" w:hAnsi="仿宋" w:eastAsia="仿宋"/>
          <w:sz w:val="28"/>
          <w:szCs w:val="28"/>
        </w:rPr>
      </w:pPr>
      <w:r>
        <w:rPr>
          <w:rFonts w:ascii="仿宋" w:hAnsi="仿宋" w:eastAsia="仿宋"/>
          <w:sz w:val="28"/>
          <w:szCs w:val="28"/>
        </w:rPr>
        <mc:AlternateContent>
          <mc:Choice Requires="wps">
            <w:drawing>
              <wp:anchor distT="0" distB="0" distL="113665" distR="113665" simplePos="0" relativeHeight="251833344" behindDoc="0" locked="0" layoutInCell="1" allowOverlap="1">
                <wp:simplePos x="0" y="0"/>
                <wp:positionH relativeFrom="column">
                  <wp:posOffset>3797935</wp:posOffset>
                </wp:positionH>
                <wp:positionV relativeFrom="paragraph">
                  <wp:posOffset>290830</wp:posOffset>
                </wp:positionV>
                <wp:extent cx="0" cy="428625"/>
                <wp:effectExtent l="76200" t="38100" r="38100" b="0"/>
                <wp:wrapNone/>
                <wp:docPr id="478" name="直线 1559"/>
                <wp:cNvGraphicFramePr/>
                <a:graphic xmlns:a="http://schemas.openxmlformats.org/drawingml/2006/main">
                  <a:graphicData uri="http://schemas.microsoft.com/office/word/2010/wordprocessingShape">
                    <wps:wsp>
                      <wps:cNvCnPr>
                        <a:cxnSpLocks noChangeShapeType="1"/>
                      </wps:cNvCnPr>
                      <wps:spPr bwMode="auto">
                        <a:xfrm flipH="1" flipV="1">
                          <a:off x="0" y="0"/>
                          <a:ext cx="0" cy="428625"/>
                        </a:xfrm>
                        <a:prstGeom prst="line">
                          <a:avLst/>
                        </a:prstGeom>
                        <a:noFill/>
                        <a:ln w="9525">
                          <a:solidFill>
                            <a:srgbClr val="000000"/>
                          </a:solidFill>
                          <a:round/>
                          <a:tailEnd type="triangle" w="med" len="med"/>
                        </a:ln>
                      </wps:spPr>
                      <wps:bodyPr/>
                    </wps:wsp>
                  </a:graphicData>
                </a:graphic>
              </wp:anchor>
            </w:drawing>
          </mc:Choice>
          <mc:Fallback>
            <w:pict>
              <v:line id="直线 1559" o:spid="_x0000_s1026" o:spt="20" style="position:absolute;left:0pt;flip:x y;margin-left:299.05pt;margin-top:22.9pt;height:33.75pt;width:0pt;z-index:251833344;mso-width-relative:page;mso-height-relative:page;" filled="f" stroked="t" coordsize="21600,21600" o:gfxdata="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Ii5wlDYAAAACgEA&#10;AA8AAAAAAAAAAQAgAAAAIgAAAGRycy9kb3ducmV2LnhtbFBLAQIUABQAAAAIAIdO4kBw265I4QEA&#10;AJkDAAAOAAAAAAAAAAEAIAAAACcBAABkcnMvZTJvRG9jLnhtbFBLBQYAAAAABgAGAFkBAAB6BQAA&#10;AAA=&#10;">
                <v:fill on="f" focussize="0,0"/>
                <v:stroke color="#000000" joinstyle="round" endarrow="block"/>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823104" behindDoc="0" locked="0" layoutInCell="1" allowOverlap="1">
                <wp:simplePos x="0" y="0"/>
                <wp:positionH relativeFrom="column">
                  <wp:posOffset>1733550</wp:posOffset>
                </wp:positionH>
                <wp:positionV relativeFrom="paragraph">
                  <wp:posOffset>405765</wp:posOffset>
                </wp:positionV>
                <wp:extent cx="1333500" cy="885825"/>
                <wp:effectExtent l="19050" t="19050" r="0" b="28575"/>
                <wp:wrapNone/>
                <wp:docPr id="477" name="流程图: 决策 1561"/>
                <wp:cNvGraphicFramePr/>
                <a:graphic xmlns:a="http://schemas.openxmlformats.org/drawingml/2006/main">
                  <a:graphicData uri="http://schemas.microsoft.com/office/word/2010/wordprocessingShape">
                    <wps:wsp>
                      <wps:cNvSpPr>
                        <a:spLocks noChangeArrowheads="1"/>
                      </wps:cNvSpPr>
                      <wps:spPr bwMode="auto">
                        <a:xfrm>
                          <a:off x="0" y="0"/>
                          <a:ext cx="1333500" cy="885825"/>
                        </a:xfrm>
                        <a:prstGeom prst="flowChartDecision">
                          <a:avLst/>
                        </a:prstGeom>
                        <a:solidFill>
                          <a:srgbClr val="FFFFFF"/>
                        </a:solidFill>
                        <a:ln w="9525">
                          <a:solidFill>
                            <a:srgbClr val="000000"/>
                          </a:solidFill>
                          <a:miter lim="200000"/>
                        </a:ln>
                      </wps:spPr>
                      <wps:txbx>
                        <w:txbxContent>
                          <w:p>
                            <w:pPr>
                              <w:rPr>
                                <w:rFonts w:ascii="仿宋" w:hAnsi="仿宋" w:eastAsia="仿宋"/>
                                <w:szCs w:val="21"/>
                              </w:rPr>
                            </w:pPr>
                            <w:r>
                              <w:rPr>
                                <w:rFonts w:hint="eastAsia" w:ascii="仿宋" w:hAnsi="仿宋" w:eastAsia="仿宋"/>
                                <w:szCs w:val="21"/>
                              </w:rPr>
                              <w:t>采取控制措施</w:t>
                            </w:r>
                          </w:p>
                        </w:txbxContent>
                      </wps:txbx>
                      <wps:bodyPr rot="0" vert="horz" wrap="square" lIns="91440" tIns="45720" rIns="91440" bIns="45720" anchor="t" anchorCtr="0" upright="1">
                        <a:noAutofit/>
                      </wps:bodyPr>
                    </wps:wsp>
                  </a:graphicData>
                </a:graphic>
              </wp:anchor>
            </w:drawing>
          </mc:Choice>
          <mc:Fallback>
            <w:pict>
              <v:shape id="流程图: 决策 1561" o:spid="_x0000_s1026" o:spt="110" type="#_x0000_t110" style="position:absolute;left:0pt;margin-left:136.5pt;margin-top:31.95pt;height:69.75pt;width:105pt;z-index:251823104;mso-width-relative:page;mso-height-relative:page;" fillcolor="#FFFFFF" filled="t" stroked="t" coordsize="21600,21600" o:gfxdata="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yGpN9cAAAAKAQAADwAAAAAAAAABACAAAAAiAAAAZHJzL2Rv&#10;d25yZXYueG1sUEsBAhQAFAAAAAgAh07iQO8NKS47AgAASQQAAA4AAAAAAAAAAQAgAAAAJgEAAGRy&#10;cy9lMm9Eb2MueG1sUEsFBgAAAAAGAAYAWQEAANMFAAAAAA==&#10;">
                <v:fill on="t" focussize="0,0"/>
                <v:stroke color="#000000" miterlimit="2" joinstyle="miter"/>
                <v:imagedata o:title=""/>
                <o:lock v:ext="edit" aspectratio="f"/>
                <v:textbox>
                  <w:txbxContent>
                    <w:p>
                      <w:pPr>
                        <w:rPr>
                          <w:rFonts w:ascii="仿宋" w:hAnsi="仿宋" w:eastAsia="仿宋"/>
                          <w:szCs w:val="21"/>
                        </w:rPr>
                      </w:pPr>
                      <w:r>
                        <w:rPr>
                          <w:rFonts w:hint="eastAsia" w:ascii="仿宋" w:hAnsi="仿宋" w:eastAsia="仿宋"/>
                          <w:szCs w:val="21"/>
                        </w:rPr>
                        <w:t>采取控制措施</w:t>
                      </w:r>
                    </w:p>
                  </w:txbxContent>
                </v:textbox>
              </v:shape>
            </w:pict>
          </mc:Fallback>
        </mc:AlternateContent>
      </w:r>
    </w:p>
    <w:p>
      <w:pPr>
        <w:spacing w:line="600" w:lineRule="auto"/>
        <w:ind w:firstLine="560" w:firstLineChars="200"/>
        <w:rPr>
          <w:rFonts w:ascii="仿宋" w:hAnsi="仿宋" w:eastAsia="仿宋"/>
          <w:szCs w:val="21"/>
        </w:rPr>
      </w:pPr>
      <w:r>
        <w:rPr>
          <w:rFonts w:ascii="仿宋" w:hAnsi="仿宋" w:eastAsia="仿宋"/>
          <w:sz w:val="28"/>
          <w:szCs w:val="28"/>
        </w:rPr>
        <mc:AlternateContent>
          <mc:Choice Requires="wps">
            <w:drawing>
              <wp:anchor distT="0" distB="0" distL="114300" distR="114300" simplePos="0" relativeHeight="251831296" behindDoc="0" locked="0" layoutInCell="1" allowOverlap="1">
                <wp:simplePos x="0" y="0"/>
                <wp:positionH relativeFrom="column">
                  <wp:posOffset>1143000</wp:posOffset>
                </wp:positionH>
                <wp:positionV relativeFrom="paragraph">
                  <wp:posOffset>295910</wp:posOffset>
                </wp:positionV>
                <wp:extent cx="600075" cy="9525"/>
                <wp:effectExtent l="38100" t="76200" r="0" b="66675"/>
                <wp:wrapNone/>
                <wp:docPr id="471" name="直线 1565"/>
                <wp:cNvGraphicFramePr/>
                <a:graphic xmlns:a="http://schemas.openxmlformats.org/drawingml/2006/main">
                  <a:graphicData uri="http://schemas.microsoft.com/office/word/2010/wordprocessingShape">
                    <wps:wsp>
                      <wps:cNvCnPr>
                        <a:cxnSpLocks noChangeShapeType="1"/>
                      </wps:cNvCnPr>
                      <wps:spPr bwMode="auto">
                        <a:xfrm flipH="1" flipV="1">
                          <a:off x="0" y="0"/>
                          <a:ext cx="600075" cy="9525"/>
                        </a:xfrm>
                        <a:prstGeom prst="line">
                          <a:avLst/>
                        </a:prstGeom>
                        <a:noFill/>
                        <a:ln w="9525">
                          <a:solidFill>
                            <a:srgbClr val="000000"/>
                          </a:solidFill>
                          <a:round/>
                          <a:tailEnd type="triangle" w="med" len="med"/>
                        </a:ln>
                      </wps:spPr>
                      <wps:bodyPr/>
                    </wps:wsp>
                  </a:graphicData>
                </a:graphic>
              </wp:anchor>
            </w:drawing>
          </mc:Choice>
          <mc:Fallback>
            <w:pict>
              <v:line id="直线 1565" o:spid="_x0000_s1026" o:spt="20" style="position:absolute;left:0pt;flip:x y;margin-left:90pt;margin-top:23.3pt;height:0.75pt;width:47.25pt;z-index:251831296;mso-width-relative:page;mso-height-relative:page;" filled="f" stroked="t" coordsize="21600,21600" o:gfxdata="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Dpvl8NgAAAAJ&#10;AQAADwAAAAAAAAABACAAAAAiAAAAZHJzL2Rvd25yZXYueG1sUEsBAhQAFAAAAAgAh07iQNMgo1/j&#10;AQAAnAMAAA4AAAAAAAAAAQAgAAAAJwEAAGRycy9lMm9Eb2MueG1sUEsFBgAAAAAGAAYAWQEAAHwF&#10;AAAAAA==&#10;">
                <v:fill on="f" focussize="0,0"/>
                <v:stroke color="#000000" joinstyle="round" endarrow="block"/>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835392" behindDoc="0" locked="0" layoutInCell="1" allowOverlap="1">
                <wp:simplePos x="0" y="0"/>
                <wp:positionH relativeFrom="column">
                  <wp:posOffset>4181475</wp:posOffset>
                </wp:positionH>
                <wp:positionV relativeFrom="paragraph">
                  <wp:posOffset>314325</wp:posOffset>
                </wp:positionV>
                <wp:extent cx="304800" cy="0"/>
                <wp:effectExtent l="0" t="76200" r="0" b="76200"/>
                <wp:wrapNone/>
                <wp:docPr id="473" name="直线 1563"/>
                <wp:cNvGraphicFramePr/>
                <a:graphic xmlns:a="http://schemas.openxmlformats.org/drawingml/2006/main">
                  <a:graphicData uri="http://schemas.microsoft.com/office/word/2010/wordprocessingShape">
                    <wps:wsp>
                      <wps:cNvCnPr>
                        <a:cxnSpLocks noChangeShapeType="1"/>
                      </wps:cNvCnPr>
                      <wps:spPr bwMode="auto">
                        <a:xfrm flipV="1">
                          <a:off x="0" y="0"/>
                          <a:ext cx="304800" cy="0"/>
                        </a:xfrm>
                        <a:prstGeom prst="line">
                          <a:avLst/>
                        </a:prstGeom>
                        <a:noFill/>
                        <a:ln w="9525">
                          <a:solidFill>
                            <a:srgbClr val="000000"/>
                          </a:solidFill>
                          <a:round/>
                          <a:tailEnd type="triangle" w="med" len="med"/>
                        </a:ln>
                      </wps:spPr>
                      <wps:bodyPr/>
                    </wps:wsp>
                  </a:graphicData>
                </a:graphic>
              </wp:anchor>
            </w:drawing>
          </mc:Choice>
          <mc:Fallback>
            <w:pict>
              <v:line id="直线 1563" o:spid="_x0000_s1026" o:spt="20" style="position:absolute;left:0pt;flip:y;margin-left:329.25pt;margin-top:24.75pt;height:0pt;width:24pt;z-index:251835392;mso-width-relative:page;mso-height-relative:page;" filled="f" stroked="t" coordsize="21600,21600" o:gfxdata="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Bk3WQ1wAAAAkBAAAP&#10;AAAAAAAAAAEAIAAAACIAAABkcnMvZG93bnJldi54bWxQSwECFAAUAAAACACHTuJAc1xuy+ABAACP&#10;AwAADgAAAAAAAAABACAAAAAmAQAAZHJzL2Uyb0RvYy54bWxQSwUGAAAAAAYABgBZAQAAeAUAAAAA&#10;">
                <v:fill on="f" focussize="0,0"/>
                <v:stroke color="#000000" joinstyle="round" endarrow="block"/>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822080" behindDoc="0" locked="0" layoutInCell="1" allowOverlap="1">
                <wp:simplePos x="0" y="0"/>
                <wp:positionH relativeFrom="column">
                  <wp:posOffset>3400425</wp:posOffset>
                </wp:positionH>
                <wp:positionV relativeFrom="paragraph">
                  <wp:posOffset>124460</wp:posOffset>
                </wp:positionV>
                <wp:extent cx="781050" cy="323850"/>
                <wp:effectExtent l="0" t="0" r="0" b="0"/>
                <wp:wrapNone/>
                <wp:docPr id="474" name="矩形 1566"/>
                <wp:cNvGraphicFramePr/>
                <a:graphic xmlns:a="http://schemas.openxmlformats.org/drawingml/2006/main">
                  <a:graphicData uri="http://schemas.microsoft.com/office/word/2010/wordprocessingShape">
                    <wps:wsp>
                      <wps:cNvSpPr>
                        <a:spLocks noChangeArrowheads="1"/>
                      </wps:cNvSpPr>
                      <wps:spPr bwMode="auto">
                        <a:xfrm>
                          <a:off x="0" y="0"/>
                          <a:ext cx="781050" cy="323850"/>
                        </a:xfrm>
                        <a:prstGeom prst="rect">
                          <a:avLst/>
                        </a:prstGeom>
                        <a:solidFill>
                          <a:srgbClr val="FFFFFF"/>
                        </a:solidFill>
                        <a:ln w="9525">
                          <a:solidFill>
                            <a:srgbClr val="000000"/>
                          </a:solidFill>
                          <a:miter lim="200000"/>
                        </a:ln>
                      </wps:spPr>
                      <wps:txbx>
                        <w:txbxContent>
                          <w:p>
                            <w:pPr>
                              <w:rPr>
                                <w:rFonts w:ascii="仿宋" w:hAnsi="仿宋" w:eastAsia="仿宋"/>
                                <w:szCs w:val="21"/>
                              </w:rPr>
                            </w:pPr>
                            <w:r>
                              <w:rPr>
                                <w:rFonts w:hint="eastAsia" w:ascii="仿宋" w:hAnsi="仿宋" w:eastAsia="仿宋"/>
                                <w:szCs w:val="21"/>
                              </w:rPr>
                              <w:t>信息报告</w:t>
                            </w:r>
                          </w:p>
                        </w:txbxContent>
                      </wps:txbx>
                      <wps:bodyPr rot="0" vert="horz" wrap="square" lIns="91440" tIns="45720" rIns="91440" bIns="45720" anchor="t" anchorCtr="0" upright="1">
                        <a:noAutofit/>
                      </wps:bodyPr>
                    </wps:wsp>
                  </a:graphicData>
                </a:graphic>
              </wp:anchor>
            </w:drawing>
          </mc:Choice>
          <mc:Fallback>
            <w:pict>
              <v:rect id="矩形 1566" o:spid="_x0000_s1026" o:spt="1" style="position:absolute;left:0pt;margin-left:267.75pt;margin-top:9.8pt;height:25.5pt;width:61.5pt;z-index:251822080;mso-width-relative:page;mso-height-relative:page;" fillcolor="#FFFFFF" filled="t" stroked="t" coordsize="21600,21600" o:gfxdata="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lwlvW9cA&#10;AAAJAQAADwAAAAAAAAABACAAAAAiAAAAZHJzL2Rvd25yZXYueG1sUEsBAhQAFAAAAAgAh07iQBuc&#10;qC4gAgAAMAQAAA4AAAAAAAAAAQAgAAAAJgEAAGRycy9lMm9Eb2MueG1sUEsFBgAAAAAGAAYAWQEA&#10;ALgFAAAAAA==&#10;">
                <v:fill on="t" focussize="0,0"/>
                <v:stroke color="#000000" miterlimit="2" joinstyle="miter"/>
                <v:imagedata o:title=""/>
                <o:lock v:ext="edit" aspectratio="f"/>
                <v:textbox>
                  <w:txbxContent>
                    <w:p>
                      <w:pPr>
                        <w:rPr>
                          <w:rFonts w:ascii="仿宋" w:hAnsi="仿宋" w:eastAsia="仿宋"/>
                          <w:szCs w:val="21"/>
                        </w:rPr>
                      </w:pPr>
                      <w:r>
                        <w:rPr>
                          <w:rFonts w:hint="eastAsia" w:ascii="仿宋" w:hAnsi="仿宋" w:eastAsia="仿宋"/>
                          <w:szCs w:val="21"/>
                        </w:rPr>
                        <w:t>信息报告</w:t>
                      </w:r>
                    </w:p>
                  </w:txbxContent>
                </v:textbox>
              </v:rect>
            </w:pict>
          </mc:Fallback>
        </mc:AlternateContent>
      </w:r>
      <w:r>
        <w:rPr>
          <w:rFonts w:ascii="仿宋" w:hAnsi="仿宋" w:eastAsia="仿宋"/>
          <w:sz w:val="28"/>
          <w:szCs w:val="28"/>
        </w:rPr>
        <mc:AlternateContent>
          <mc:Choice Requires="wps">
            <w:drawing>
              <wp:anchor distT="0" distB="0" distL="114300" distR="114300" simplePos="0" relativeHeight="251832320" behindDoc="0" locked="0" layoutInCell="1" allowOverlap="1">
                <wp:simplePos x="0" y="0"/>
                <wp:positionH relativeFrom="column">
                  <wp:posOffset>3038475</wp:posOffset>
                </wp:positionH>
                <wp:positionV relativeFrom="paragraph">
                  <wp:posOffset>266700</wp:posOffset>
                </wp:positionV>
                <wp:extent cx="361950" cy="0"/>
                <wp:effectExtent l="0" t="76200" r="0" b="76200"/>
                <wp:wrapNone/>
                <wp:docPr id="472" name="直线 1564"/>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9525">
                          <a:solidFill>
                            <a:srgbClr val="000000"/>
                          </a:solidFill>
                          <a:round/>
                          <a:tailEnd type="triangle" w="med" len="med"/>
                        </a:ln>
                      </wps:spPr>
                      <wps:bodyPr/>
                    </wps:wsp>
                  </a:graphicData>
                </a:graphic>
              </wp:anchor>
            </w:drawing>
          </mc:Choice>
          <mc:Fallback>
            <w:pict>
              <v:line id="直线 1564" o:spid="_x0000_s1026" o:spt="20" style="position:absolute;left:0pt;margin-left:239.25pt;margin-top:21pt;height:0pt;width:28.5pt;z-index:251832320;mso-width-relative:page;mso-height-relative:page;" filled="f" stroked="t" coordsize="21600,21600" o:gfxdata="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yDJ1TtgAAAAJAQAADwAAAAAA&#10;AAABACAAAAAiAAAAZHJzL2Rvd25yZXYueG1sUEsBAhQAFAAAAAgAh07iQHEa0ojaAQAAhQMAAA4A&#10;AAAAAAAAAQAgAAAAJwEAAGRycy9lMm9Eb2MueG1sUEsFBgAAAAAGAAYAWQEAAHMFAAAAAA==&#10;">
                <v:fill on="f" focussize="0,0"/>
                <v:stroke color="#000000" joinstyle="round" endarrow="block"/>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821056" behindDoc="0" locked="0" layoutInCell="1" allowOverlap="1">
                <wp:simplePos x="0" y="0"/>
                <wp:positionH relativeFrom="column">
                  <wp:posOffset>294640</wp:posOffset>
                </wp:positionH>
                <wp:positionV relativeFrom="paragraph">
                  <wp:posOffset>19685</wp:posOffset>
                </wp:positionV>
                <wp:extent cx="866775" cy="495300"/>
                <wp:effectExtent l="0" t="0" r="9525" b="0"/>
                <wp:wrapNone/>
                <wp:docPr id="470" name="矩形 1567"/>
                <wp:cNvGraphicFramePr/>
                <a:graphic xmlns:a="http://schemas.openxmlformats.org/drawingml/2006/main">
                  <a:graphicData uri="http://schemas.microsoft.com/office/word/2010/wordprocessingShape">
                    <wps:wsp>
                      <wps:cNvSpPr>
                        <a:spLocks noChangeArrowheads="1"/>
                      </wps:cNvSpPr>
                      <wps:spPr bwMode="auto">
                        <a:xfrm>
                          <a:off x="0" y="0"/>
                          <a:ext cx="866775" cy="495300"/>
                        </a:xfrm>
                        <a:prstGeom prst="rect">
                          <a:avLst/>
                        </a:prstGeom>
                        <a:solidFill>
                          <a:srgbClr val="FFFFFF"/>
                        </a:solidFill>
                        <a:ln w="9525">
                          <a:solidFill>
                            <a:srgbClr val="000000"/>
                          </a:solidFill>
                          <a:miter lim="200000"/>
                        </a:ln>
                      </wps:spPr>
                      <wps:txbx>
                        <w:txbxContent>
                          <w:p>
                            <w:pPr>
                              <w:rPr>
                                <w:rFonts w:ascii="仿宋" w:hAnsi="仿宋" w:eastAsia="仿宋"/>
                                <w:szCs w:val="21"/>
                              </w:rPr>
                            </w:pPr>
                            <w:r>
                              <w:rPr>
                                <w:rFonts w:hint="eastAsia" w:ascii="仿宋" w:hAnsi="仿宋" w:eastAsia="仿宋"/>
                                <w:szCs w:val="21"/>
                              </w:rPr>
                              <w:t>人员撤离并现场警戒</w:t>
                            </w:r>
                          </w:p>
                        </w:txbxContent>
                      </wps:txbx>
                      <wps:bodyPr rot="0" vert="horz" wrap="square" lIns="91440" tIns="45720" rIns="91440" bIns="45720" anchor="t" anchorCtr="0" upright="1">
                        <a:noAutofit/>
                      </wps:bodyPr>
                    </wps:wsp>
                  </a:graphicData>
                </a:graphic>
              </wp:anchor>
            </w:drawing>
          </mc:Choice>
          <mc:Fallback>
            <w:pict>
              <v:rect id="矩形 1567" o:spid="_x0000_s1026" o:spt="1" style="position:absolute;left:0pt;margin-left:23.2pt;margin-top:1.55pt;height:39pt;width:68.25pt;z-index:251821056;mso-width-relative:page;mso-height-relative:page;" fillcolor="#FFFFFF" filled="t" stroked="t" coordsize="21600,21600" o:gfxdata="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vzmk/V&#10;AAAABwEAAA8AAAAAAAAAAQAgAAAAIgAAAGRycy9kb3ducmV2LnhtbFBLAQIUABQAAAAIAIdO4kBy&#10;hC9BIwIAADAEAAAOAAAAAAAAAAEAIAAAACQBAABkcnMvZTJvRG9jLnhtbFBLBQYAAAAABgAGAFkB&#10;AAC5BQAAAAA=&#10;">
                <v:fill on="t" focussize="0,0"/>
                <v:stroke color="#000000" miterlimit="2" joinstyle="miter"/>
                <v:imagedata o:title=""/>
                <o:lock v:ext="edit" aspectratio="f"/>
                <v:textbox>
                  <w:txbxContent>
                    <w:p>
                      <w:pPr>
                        <w:rPr>
                          <w:rFonts w:ascii="仿宋" w:hAnsi="仿宋" w:eastAsia="仿宋"/>
                          <w:szCs w:val="21"/>
                        </w:rPr>
                      </w:pPr>
                      <w:r>
                        <w:rPr>
                          <w:rFonts w:hint="eastAsia" w:ascii="仿宋" w:hAnsi="仿宋" w:eastAsia="仿宋"/>
                          <w:szCs w:val="21"/>
                        </w:rPr>
                        <w:t>人员撤离并现场警戒</w:t>
                      </w:r>
                    </w:p>
                  </w:txbxContent>
                </v:textbox>
              </v:rect>
            </w:pict>
          </mc:Fallback>
        </mc:AlternateContent>
      </w:r>
      <w:r>
        <w:rPr>
          <w:rFonts w:ascii="仿宋" w:hAnsi="仿宋" w:eastAsia="仿宋"/>
          <w:sz w:val="28"/>
          <w:szCs w:val="28"/>
        </w:rPr>
        <mc:AlternateContent>
          <mc:Choice Requires="wps">
            <w:drawing>
              <wp:anchor distT="0" distB="0" distL="114300" distR="114300" simplePos="0" relativeHeight="251825152" behindDoc="0" locked="0" layoutInCell="1" allowOverlap="1">
                <wp:simplePos x="0" y="0"/>
                <wp:positionH relativeFrom="column">
                  <wp:posOffset>4495800</wp:posOffset>
                </wp:positionH>
                <wp:positionV relativeFrom="paragraph">
                  <wp:posOffset>147955</wp:posOffset>
                </wp:positionV>
                <wp:extent cx="914400" cy="334010"/>
                <wp:effectExtent l="0" t="0" r="0" b="8890"/>
                <wp:wrapNone/>
                <wp:docPr id="475" name="矩形 1562"/>
                <wp:cNvGraphicFramePr/>
                <a:graphic xmlns:a="http://schemas.openxmlformats.org/drawingml/2006/main">
                  <a:graphicData uri="http://schemas.microsoft.com/office/word/2010/wordprocessingShape">
                    <wps:wsp>
                      <wps:cNvSpPr>
                        <a:spLocks noChangeArrowheads="1"/>
                      </wps:cNvSpPr>
                      <wps:spPr bwMode="auto">
                        <a:xfrm>
                          <a:off x="0" y="0"/>
                          <a:ext cx="914400" cy="334010"/>
                        </a:xfrm>
                        <a:prstGeom prst="rect">
                          <a:avLst/>
                        </a:prstGeom>
                        <a:solidFill>
                          <a:srgbClr val="FFFFFF"/>
                        </a:solidFill>
                        <a:ln w="9525">
                          <a:solidFill>
                            <a:srgbClr val="000000"/>
                          </a:solidFill>
                          <a:miter lim="200000"/>
                        </a:ln>
                      </wps:spPr>
                      <wps:txbx>
                        <w:txbxContent>
                          <w:p>
                            <w:pPr>
                              <w:rPr>
                                <w:rFonts w:ascii="仿宋" w:hAnsi="仿宋" w:eastAsia="仿宋"/>
                                <w:szCs w:val="21"/>
                              </w:rPr>
                            </w:pPr>
                            <w:r>
                              <w:rPr>
                                <w:rFonts w:hint="eastAsia" w:ascii="仿宋" w:hAnsi="仿宋" w:eastAsia="仿宋"/>
                                <w:szCs w:val="21"/>
                              </w:rPr>
                              <w:t>公司企管部</w:t>
                            </w:r>
                          </w:p>
                        </w:txbxContent>
                      </wps:txbx>
                      <wps:bodyPr rot="0" vert="horz" wrap="square" lIns="91440" tIns="45720" rIns="91440" bIns="45720" anchor="t" anchorCtr="0" upright="1">
                        <a:noAutofit/>
                      </wps:bodyPr>
                    </wps:wsp>
                  </a:graphicData>
                </a:graphic>
              </wp:anchor>
            </w:drawing>
          </mc:Choice>
          <mc:Fallback>
            <w:pict>
              <v:rect id="矩形 1562" o:spid="_x0000_s1026" o:spt="1" style="position:absolute;left:0pt;margin-left:354pt;margin-top:11.65pt;height:26.3pt;width:72pt;z-index:251825152;mso-width-relative:page;mso-height-relative:page;" fillcolor="#FFFFFF" filled="t" stroked="t" coordsize="21600,21600" o:gfxdata="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jBI+nXAAAA&#10;CQEAAA8AAAAAAAAAAQAgAAAAIgAAAGRycy9kb3ducmV2LnhtbFBLAQIUABQAAAAIAIdO4kB8xgen&#10;HgIAADAEAAAOAAAAAAAAAAEAIAAAACYBAABkcnMvZTJvRG9jLnhtbFBLBQYAAAAABgAGAFkBAAC2&#10;BQAAAAA=&#10;">
                <v:fill on="t" focussize="0,0"/>
                <v:stroke color="#000000" miterlimit="2" joinstyle="miter"/>
                <v:imagedata o:title=""/>
                <o:lock v:ext="edit" aspectratio="f"/>
                <v:textbox>
                  <w:txbxContent>
                    <w:p>
                      <w:pPr>
                        <w:rPr>
                          <w:rFonts w:ascii="仿宋" w:hAnsi="仿宋" w:eastAsia="仿宋"/>
                          <w:szCs w:val="21"/>
                        </w:rPr>
                      </w:pPr>
                      <w:r>
                        <w:rPr>
                          <w:rFonts w:hint="eastAsia" w:ascii="仿宋" w:hAnsi="仿宋" w:eastAsia="仿宋"/>
                          <w:szCs w:val="21"/>
                        </w:rPr>
                        <w:t>公司企管部</w:t>
                      </w:r>
                    </w:p>
                  </w:txbxContent>
                </v:textbox>
              </v:rect>
            </w:pict>
          </mc:Fallback>
        </mc:AlternateConten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Cs w:val="21"/>
        </w:rPr>
        <w:t>否</w:t>
      </w:r>
    </w:p>
    <w:p>
      <w:pPr>
        <w:spacing w:line="600" w:lineRule="auto"/>
        <w:ind w:firstLine="2520" w:firstLineChars="900"/>
        <w:rPr>
          <w:rFonts w:ascii="仿宋" w:hAnsi="仿宋" w:eastAsia="仿宋"/>
          <w:sz w:val="28"/>
          <w:szCs w:val="28"/>
        </w:rPr>
      </w:pPr>
      <w:r>
        <w:rPr>
          <w:rFonts w:ascii="仿宋" w:hAnsi="仿宋" w:eastAsia="仿宋"/>
          <w:sz w:val="28"/>
          <w:szCs w:val="28"/>
        </w:rPr>
        <mc:AlternateContent>
          <mc:Choice Requires="wps">
            <w:drawing>
              <wp:anchor distT="0" distB="0" distL="113665" distR="113665" simplePos="0" relativeHeight="251838464" behindDoc="0" locked="0" layoutInCell="1" allowOverlap="1">
                <wp:simplePos x="0" y="0"/>
                <wp:positionH relativeFrom="column">
                  <wp:posOffset>4959985</wp:posOffset>
                </wp:positionH>
                <wp:positionV relativeFrom="paragraph">
                  <wp:posOffset>45085</wp:posOffset>
                </wp:positionV>
                <wp:extent cx="0" cy="718185"/>
                <wp:effectExtent l="76200" t="38100" r="38100" b="5715"/>
                <wp:wrapNone/>
                <wp:docPr id="476" name="直线 1568"/>
                <wp:cNvGraphicFramePr/>
                <a:graphic xmlns:a="http://schemas.openxmlformats.org/drawingml/2006/main">
                  <a:graphicData uri="http://schemas.microsoft.com/office/word/2010/wordprocessingShape">
                    <wps:wsp>
                      <wps:cNvCnPr>
                        <a:cxnSpLocks noChangeShapeType="1"/>
                      </wps:cNvCnPr>
                      <wps:spPr bwMode="auto">
                        <a:xfrm flipH="1" flipV="1">
                          <a:off x="0" y="0"/>
                          <a:ext cx="0" cy="718185"/>
                        </a:xfrm>
                        <a:prstGeom prst="line">
                          <a:avLst/>
                        </a:prstGeom>
                        <a:noFill/>
                        <a:ln w="9525">
                          <a:solidFill>
                            <a:srgbClr val="000000"/>
                          </a:solidFill>
                          <a:round/>
                          <a:tailEnd type="triangle" w="med" len="med"/>
                        </a:ln>
                      </wps:spPr>
                      <wps:bodyPr/>
                    </wps:wsp>
                  </a:graphicData>
                </a:graphic>
              </wp:anchor>
            </w:drawing>
          </mc:Choice>
          <mc:Fallback>
            <w:pict>
              <v:line id="直线 1568" o:spid="_x0000_s1026" o:spt="20" style="position:absolute;left:0pt;flip:x y;margin-left:390.55pt;margin-top:3.55pt;height:56.55pt;width:0pt;z-index:251838464;mso-width-relative:page;mso-height-relative:page;" filled="f" stroked="t" coordsize="21600,21600" o:gfxdata="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ZlQOa1QAAAAkBAAAP&#10;AAAAAAAAAAEAIAAAACIAAABkcnMvZG93bnJldi54bWxQSwECFAAUAAAACACHTuJAJA/kSuIBAACZ&#10;AwAADgAAAAAAAAABACAAAAAkAQAAZHJzL2Uyb0RvYy54bWxQSwUGAAAAAAYABgBZAQAAeAUAAAAA&#10;">
                <v:fill on="f" focussize="0,0"/>
                <v:stroke color="#000000" joinstyle="round" endarrow="block"/>
                <v:imagedata o:title=""/>
                <o:lock v:ext="edit" aspectratio="f"/>
              </v:line>
            </w:pict>
          </mc:Fallback>
        </mc:AlternateContent>
      </w:r>
      <w:r>
        <w:rPr>
          <w:rFonts w:ascii="仿宋" w:hAnsi="仿宋" w:eastAsia="仿宋"/>
          <w:sz w:val="28"/>
          <w:szCs w:val="28"/>
        </w:rPr>
        <mc:AlternateContent>
          <mc:Choice Requires="wps">
            <w:drawing>
              <wp:anchor distT="0" distB="0" distL="113665" distR="113665" simplePos="0" relativeHeight="251836416" behindDoc="0" locked="0" layoutInCell="1" allowOverlap="1">
                <wp:simplePos x="0" y="0"/>
                <wp:positionH relativeFrom="column">
                  <wp:posOffset>2390140</wp:posOffset>
                </wp:positionH>
                <wp:positionV relativeFrom="paragraph">
                  <wp:posOffset>302260</wp:posOffset>
                </wp:positionV>
                <wp:extent cx="0" cy="303530"/>
                <wp:effectExtent l="76200" t="0" r="38100" b="39370"/>
                <wp:wrapNone/>
                <wp:docPr id="469" name="直线 1569"/>
                <wp:cNvGraphicFramePr/>
                <a:graphic xmlns:a="http://schemas.openxmlformats.org/drawingml/2006/main">
                  <a:graphicData uri="http://schemas.microsoft.com/office/word/2010/wordprocessingShape">
                    <wps:wsp>
                      <wps:cNvCnPr>
                        <a:cxnSpLocks noChangeShapeType="1"/>
                      </wps:cNvCnPr>
                      <wps:spPr bwMode="auto">
                        <a:xfrm>
                          <a:off x="0" y="0"/>
                          <a:ext cx="0" cy="303530"/>
                        </a:xfrm>
                        <a:prstGeom prst="line">
                          <a:avLst/>
                        </a:prstGeom>
                        <a:noFill/>
                        <a:ln w="9525">
                          <a:solidFill>
                            <a:srgbClr val="000000"/>
                          </a:solidFill>
                          <a:round/>
                          <a:tailEnd type="triangle" w="med" len="med"/>
                        </a:ln>
                      </wps:spPr>
                      <wps:bodyPr/>
                    </wps:wsp>
                  </a:graphicData>
                </a:graphic>
              </wp:anchor>
            </w:drawing>
          </mc:Choice>
          <mc:Fallback>
            <w:pict>
              <v:line id="直线 1569" o:spid="_x0000_s1026" o:spt="20" style="position:absolute;left:0pt;margin-left:188.2pt;margin-top:23.8pt;height:23.9pt;width:0pt;z-index:251836416;mso-width-relative:page;mso-height-relative:page;" filled="f" stroked="t" coordsize="21600,21600" o:gfxdata="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DfT99kAAAAJAQAADwAAAAAA&#10;AAABACAAAAAiAAAAZHJzL2Rvd25yZXYueG1sUEsBAhQAFAAAAAgAh07iQK+YutnZAQAAhQMAAA4A&#10;AAAAAAAAAQAgAAAAKAEAAGRycy9lMm9Eb2MueG1sUEsFBgAAAAAGAAYAWQEAAHMFAAAAAA==&#10;">
                <v:fill on="f" focussize="0,0"/>
                <v:stroke color="#000000" joinstyle="round" endarrow="block"/>
                <v:imagedata o:title=""/>
                <o:lock v:ext="edit" aspectratio="f"/>
              </v:line>
            </w:pict>
          </mc:Fallback>
        </mc:AlternateContent>
      </w:r>
      <w:r>
        <w:rPr>
          <w:rFonts w:hint="eastAsia" w:ascii="仿宋" w:hAnsi="仿宋" w:eastAsia="仿宋"/>
          <w:sz w:val="28"/>
          <w:szCs w:val="28"/>
        </w:rPr>
        <w:t xml:space="preserve"> </w:t>
      </w:r>
    </w:p>
    <w:p>
      <w:pPr>
        <w:tabs>
          <w:tab w:val="left" w:pos="5880"/>
        </w:tabs>
        <w:spacing w:line="600" w:lineRule="auto"/>
        <w:ind w:firstLine="560"/>
        <w:rPr>
          <w:rFonts w:ascii="仿宋" w:hAnsi="仿宋" w:eastAsia="仿宋"/>
          <w:sz w:val="28"/>
          <w:szCs w:val="28"/>
        </w:rPr>
      </w:pPr>
      <w:r>
        <w:rPr>
          <w:rFonts w:ascii="仿宋" w:hAnsi="仿宋" w:eastAsia="仿宋"/>
          <w:sz w:val="28"/>
          <w:szCs w:val="28"/>
        </w:rPr>
        <mc:AlternateContent>
          <mc:Choice Requires="wps">
            <w:drawing>
              <wp:anchor distT="0" distB="0" distL="114300" distR="114300" simplePos="0" relativeHeight="251837440" behindDoc="0" locked="0" layoutInCell="1" allowOverlap="1">
                <wp:simplePos x="0" y="0"/>
                <wp:positionH relativeFrom="column">
                  <wp:posOffset>2858770</wp:posOffset>
                </wp:positionH>
                <wp:positionV relativeFrom="paragraph">
                  <wp:posOffset>205105</wp:posOffset>
                </wp:positionV>
                <wp:extent cx="2113915" cy="0"/>
                <wp:effectExtent l="0" t="76200" r="635" b="76200"/>
                <wp:wrapNone/>
                <wp:docPr id="466" name="直线 1571"/>
                <wp:cNvGraphicFramePr/>
                <a:graphic xmlns:a="http://schemas.openxmlformats.org/drawingml/2006/main">
                  <a:graphicData uri="http://schemas.microsoft.com/office/word/2010/wordprocessingShape">
                    <wps:wsp>
                      <wps:cNvCnPr>
                        <a:cxnSpLocks noChangeShapeType="1"/>
                      </wps:cNvCnPr>
                      <wps:spPr bwMode="auto">
                        <a:xfrm flipV="1">
                          <a:off x="0" y="0"/>
                          <a:ext cx="2113915" cy="0"/>
                        </a:xfrm>
                        <a:prstGeom prst="line">
                          <a:avLst/>
                        </a:prstGeom>
                        <a:noFill/>
                        <a:ln w="9525">
                          <a:solidFill>
                            <a:srgbClr val="000000"/>
                          </a:solidFill>
                          <a:round/>
                          <a:tailEnd type="triangle" w="med" len="med"/>
                        </a:ln>
                      </wps:spPr>
                      <wps:bodyPr/>
                    </wps:wsp>
                  </a:graphicData>
                </a:graphic>
              </wp:anchor>
            </w:drawing>
          </mc:Choice>
          <mc:Fallback>
            <w:pict>
              <v:line id="直线 1571" o:spid="_x0000_s1026" o:spt="20" style="position:absolute;left:0pt;flip:y;margin-left:225.1pt;margin-top:16.15pt;height:0pt;width:166.45pt;z-index:251837440;mso-width-relative:page;mso-height-relative:page;" filled="f" stroked="t" coordsize="21600,21600" o:gfxdata="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xVFDf2QAAAAkB&#10;AAAPAAAAAAAAAAEAIAAAACIAAABkcnMvZG93bnJldi54bWxQSwECFAAUAAAACACHTuJA7cTaveEB&#10;AACQAwAADgAAAAAAAAABACAAAAAoAQAAZHJzL2Uyb0RvYy54bWxQSwUGAAAAAAYABgBZAQAAewUA&#10;AAAA&#10;">
                <v:fill on="f" focussize="0,0"/>
                <v:stroke color="#000000" joinstyle="round" endarrow="block"/>
                <v:imagedata o:title=""/>
                <o:lock v:ext="edit" aspectratio="f"/>
              </v:line>
            </w:pict>
          </mc:Fallback>
        </mc:AlternateContent>
      </w:r>
      <w:r>
        <w:rPr>
          <w:rFonts w:ascii="仿宋" w:hAnsi="仿宋" w:eastAsia="仿宋"/>
          <w:sz w:val="28"/>
          <w:szCs w:val="28"/>
        </w:rPr>
        <mc:AlternateContent>
          <mc:Choice Requires="wps">
            <w:drawing>
              <wp:anchor distT="0" distB="0" distL="114300" distR="114300" simplePos="0" relativeHeight="251820032" behindDoc="0" locked="0" layoutInCell="1" allowOverlap="1">
                <wp:simplePos x="0" y="0"/>
                <wp:positionH relativeFrom="column">
                  <wp:posOffset>1943100</wp:posOffset>
                </wp:positionH>
                <wp:positionV relativeFrom="paragraph">
                  <wp:posOffset>46355</wp:posOffset>
                </wp:positionV>
                <wp:extent cx="914400" cy="316865"/>
                <wp:effectExtent l="0" t="0" r="0" b="6985"/>
                <wp:wrapNone/>
                <wp:docPr id="468" name="矩形 1572"/>
                <wp:cNvGraphicFramePr/>
                <a:graphic xmlns:a="http://schemas.openxmlformats.org/drawingml/2006/main">
                  <a:graphicData uri="http://schemas.microsoft.com/office/word/2010/wordprocessingShape">
                    <wps:wsp>
                      <wps:cNvSpPr>
                        <a:spLocks noChangeArrowheads="1"/>
                      </wps:cNvSpPr>
                      <wps:spPr bwMode="auto">
                        <a:xfrm>
                          <a:off x="0" y="0"/>
                          <a:ext cx="914400" cy="316865"/>
                        </a:xfrm>
                        <a:prstGeom prst="rect">
                          <a:avLst/>
                        </a:prstGeom>
                        <a:solidFill>
                          <a:srgbClr val="FFFFFF"/>
                        </a:solidFill>
                        <a:ln w="9525">
                          <a:solidFill>
                            <a:srgbClr val="000000"/>
                          </a:solidFill>
                          <a:miter lim="200000"/>
                        </a:ln>
                      </wps:spPr>
                      <wps:txbx>
                        <w:txbxContent>
                          <w:p>
                            <w:pPr>
                              <w:ind w:firstLine="210" w:firstLineChars="100"/>
                              <w:rPr>
                                <w:rFonts w:ascii="仿宋" w:hAnsi="仿宋" w:eastAsia="仿宋"/>
                                <w:szCs w:val="21"/>
                              </w:rPr>
                            </w:pPr>
                            <w:r>
                              <w:rPr>
                                <w:rFonts w:hint="eastAsia" w:ascii="仿宋" w:hAnsi="仿宋" w:eastAsia="仿宋"/>
                                <w:szCs w:val="21"/>
                              </w:rPr>
                              <w:t>处理完成</w:t>
                            </w:r>
                          </w:p>
                        </w:txbxContent>
                      </wps:txbx>
                      <wps:bodyPr rot="0" vert="horz" wrap="square" lIns="91440" tIns="45720" rIns="91440" bIns="45720" anchor="t" anchorCtr="0" upright="1">
                        <a:noAutofit/>
                      </wps:bodyPr>
                    </wps:wsp>
                  </a:graphicData>
                </a:graphic>
              </wp:anchor>
            </w:drawing>
          </mc:Choice>
          <mc:Fallback>
            <w:pict>
              <v:rect id="矩形 1572" o:spid="_x0000_s1026" o:spt="1" style="position:absolute;left:0pt;margin-left:153pt;margin-top:3.65pt;height:24.95pt;width:72pt;z-index:251820032;mso-width-relative:page;mso-height-relative:page;" fillcolor="#FFFFFF" filled="t" stroked="t" coordsize="21600,21600" o:gfxdata="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MPOZNnXAAAA&#10;CAEAAA8AAAAAAAAAAQAgAAAAIgAAAGRycy9kb3ducmV2LnhtbFBLAQIUABQAAAAIAIdO4kAfkXtd&#10;HgIAADAEAAAOAAAAAAAAAAEAIAAAACYBAABkcnMvZTJvRG9jLnhtbFBLBQYAAAAABgAGAFkBAAC2&#10;BQAAAAA=&#10;">
                <v:fill on="t" focussize="0,0"/>
                <v:stroke color="#000000" miterlimit="2" joinstyle="miter"/>
                <v:imagedata o:title=""/>
                <o:lock v:ext="edit" aspectratio="f"/>
                <v:textbox>
                  <w:txbxContent>
                    <w:p>
                      <w:pPr>
                        <w:ind w:firstLine="210" w:firstLineChars="100"/>
                        <w:rPr>
                          <w:rFonts w:ascii="仿宋" w:hAnsi="仿宋" w:eastAsia="仿宋"/>
                          <w:szCs w:val="21"/>
                        </w:rPr>
                      </w:pPr>
                      <w:r>
                        <w:rPr>
                          <w:rFonts w:hint="eastAsia" w:ascii="仿宋" w:hAnsi="仿宋" w:eastAsia="仿宋"/>
                          <w:szCs w:val="21"/>
                        </w:rPr>
                        <w:t>处理完成</w:t>
                      </w:r>
                    </w:p>
                  </w:txbxContent>
                </v:textbox>
              </v:rect>
            </w:pict>
          </mc:Fallback>
        </mc:AlternateContent>
      </w:r>
      <w:r>
        <w:rPr>
          <w:rFonts w:ascii="仿宋" w:hAnsi="仿宋" w:eastAsia="仿宋"/>
          <w:sz w:val="28"/>
          <w:szCs w:val="28"/>
        </w:rPr>
        <mc:AlternateContent>
          <mc:Choice Requires="wps">
            <w:drawing>
              <wp:anchor distT="0" distB="0" distL="114300" distR="114300" simplePos="0" relativeHeight="251842560" behindDoc="0" locked="0" layoutInCell="1" allowOverlap="1">
                <wp:simplePos x="0" y="0"/>
                <wp:positionH relativeFrom="column">
                  <wp:posOffset>-114300</wp:posOffset>
                </wp:positionH>
                <wp:positionV relativeFrom="paragraph">
                  <wp:posOffset>198120</wp:posOffset>
                </wp:positionV>
                <wp:extent cx="2057400" cy="635"/>
                <wp:effectExtent l="38100" t="76200" r="0" b="75565"/>
                <wp:wrapNone/>
                <wp:docPr id="467" name="直线 1570"/>
                <wp:cNvGraphicFramePr/>
                <a:graphic xmlns:a="http://schemas.openxmlformats.org/drawingml/2006/main">
                  <a:graphicData uri="http://schemas.microsoft.com/office/word/2010/wordprocessingShape">
                    <wps:wsp>
                      <wps:cNvCnPr>
                        <a:cxnSpLocks noChangeShapeType="1"/>
                      </wps:cNvCnPr>
                      <wps:spPr bwMode="auto">
                        <a:xfrm flipH="1">
                          <a:off x="0" y="0"/>
                          <a:ext cx="2057400" cy="635"/>
                        </a:xfrm>
                        <a:prstGeom prst="line">
                          <a:avLst/>
                        </a:prstGeom>
                        <a:noFill/>
                        <a:ln w="9525">
                          <a:solidFill>
                            <a:srgbClr val="000000"/>
                          </a:solidFill>
                          <a:round/>
                          <a:tailEnd type="triangle" w="med" len="med"/>
                        </a:ln>
                      </wps:spPr>
                      <wps:bodyPr/>
                    </wps:wsp>
                  </a:graphicData>
                </a:graphic>
              </wp:anchor>
            </w:drawing>
          </mc:Choice>
          <mc:Fallback>
            <w:pict>
              <v:line id="直线 1570" o:spid="_x0000_s1026" o:spt="20" style="position:absolute;left:0pt;flip:x;margin-left:-9pt;margin-top:15.6pt;height:0.05pt;width:162pt;z-index:251842560;mso-width-relative:page;mso-height-relative:page;" filled="f" stroked="t" coordsize="21600,21600" o:gfxdata="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QFc5Q2QAA&#10;AAkBAAAPAAAAAAAAAAEAIAAAACIAAABkcnMvZG93bnJldi54bWxQSwECFAAUAAAACACHTuJAQS8m&#10;r+QBAACSAwAADgAAAAAAAAABACAAAAAoAQAAZHJzL2Uyb0RvYy54bWxQSwUGAAAAAAYABgBZAQAA&#10;fgUAAAAA&#10;">
                <v:fill on="f" focussize="0,0"/>
                <v:stroke color="#000000" joinstyle="round" endarrow="block"/>
                <v:imagedata o:title=""/>
                <o:lock v:ext="edit" aspectratio="f"/>
              </v:line>
            </w:pict>
          </mc:Fallback>
        </mc:AlternateContent>
      </w:r>
      <w:r>
        <w:rPr>
          <w:rFonts w:hint="eastAsia" w:ascii="仿宋" w:hAnsi="仿宋" w:eastAsia="仿宋"/>
          <w:spacing w:val="6"/>
          <w:sz w:val="18"/>
          <w:szCs w:val="18"/>
        </w:rPr>
        <w:t xml:space="preserve">              报告</w:t>
      </w:r>
      <w:r>
        <w:rPr>
          <w:rFonts w:ascii="仿宋" w:hAnsi="仿宋" w:eastAsia="仿宋"/>
          <w:sz w:val="28"/>
          <w:szCs w:val="28"/>
        </w:rPr>
        <w:tab/>
      </w:r>
      <w:r>
        <w:rPr>
          <w:rFonts w:hint="eastAsia" w:ascii="仿宋" w:hAnsi="仿宋" w:eastAsia="仿宋"/>
          <w:spacing w:val="6"/>
          <w:sz w:val="18"/>
          <w:szCs w:val="18"/>
        </w:rPr>
        <w:t>报告</w:t>
      </w:r>
    </w:p>
    <w:p>
      <w:pPr>
        <w:pStyle w:val="139"/>
        <w:spacing w:after="48"/>
        <w:jc w:val="center"/>
        <w:rPr>
          <w:rFonts w:hint="eastAsia" w:ascii="仿宋" w:hAnsi="仿宋" w:eastAsia="仿宋" w:cs="仿宋"/>
        </w:rPr>
      </w:pPr>
      <w:r>
        <w:rPr>
          <w:rFonts w:hint="eastAsia" w:ascii="仿宋" w:hAnsi="仿宋" w:eastAsia="仿宋" w:cs="仿宋"/>
        </w:rPr>
        <w:t>图6-1   基本处置程序图</w:t>
      </w:r>
    </w:p>
    <w:p>
      <w:pPr>
        <w:pStyle w:val="124"/>
        <w:ind w:firstLine="560"/>
        <w:rPr>
          <w:rFonts w:hint="eastAsia"/>
        </w:rPr>
      </w:pPr>
    </w:p>
    <w:p>
      <w:pPr>
        <w:pStyle w:val="124"/>
        <w:numPr>
          <w:ilvl w:val="0"/>
          <w:numId w:val="15"/>
        </w:numPr>
        <w:ind w:firstLine="560"/>
        <w:rPr>
          <w:rFonts w:hint="eastAsia"/>
        </w:rPr>
      </w:pPr>
      <w:r>
        <w:rPr>
          <w:rFonts w:hint="eastAsia"/>
        </w:rPr>
        <w:t>环境保护目标和措施</w:t>
      </w:r>
    </w:p>
    <w:p>
      <w:pPr>
        <w:pStyle w:val="124"/>
        <w:numPr>
          <w:ilvl w:val="0"/>
          <w:numId w:val="0"/>
        </w:numPr>
        <w:ind w:firstLine="560" w:firstLineChars="200"/>
        <w:rPr>
          <w:rFonts w:hint="eastAsia"/>
        </w:rPr>
      </w:pPr>
      <w:r>
        <w:rPr>
          <w:rFonts w:hint="eastAsia"/>
          <w:lang w:eastAsia="zh-CN"/>
        </w:rPr>
        <w:t>（</w:t>
      </w:r>
      <w:r>
        <w:rPr>
          <w:rFonts w:hint="eastAsia"/>
          <w:lang w:val="en-US" w:eastAsia="zh-CN"/>
        </w:rPr>
        <w:t>1</w:t>
      </w:r>
      <w:r>
        <w:rPr>
          <w:rFonts w:hint="eastAsia"/>
          <w:lang w:eastAsia="zh-CN"/>
        </w:rPr>
        <w:t>）</w:t>
      </w:r>
      <w:r>
        <w:rPr>
          <w:rFonts w:hint="eastAsia"/>
        </w:rPr>
        <w:t>大气污染事件保护目标的应急措施</w:t>
      </w:r>
    </w:p>
    <w:p>
      <w:pPr>
        <w:pStyle w:val="124"/>
        <w:ind w:firstLine="560"/>
      </w:pPr>
      <w:r>
        <w:rPr>
          <w:rFonts w:hint="eastAsia"/>
        </w:rPr>
        <w:t>根据预测结果，发生火灾时，CO未出现半致死浓度（2069mg/m</w:t>
      </w:r>
      <w:r>
        <w:rPr>
          <w:rFonts w:hint="eastAsia"/>
          <w:vertAlign w:val="superscript"/>
        </w:rPr>
        <w:t>3</w:t>
      </w:r>
      <w:r>
        <w:rPr>
          <w:rFonts w:hint="eastAsia"/>
        </w:rPr>
        <w:t>);在B、D、E类气象条件下，在短时间接触容许浓度(30mg/m</w:t>
      </w:r>
      <w:r>
        <w:rPr>
          <w:rFonts w:hint="eastAsia"/>
          <w:vertAlign w:val="superscript"/>
        </w:rPr>
        <w:t>3</w:t>
      </w:r>
      <w:r>
        <w:rPr>
          <w:rFonts w:hint="eastAsia"/>
        </w:rPr>
        <w:t>)超标范围分别为16.58 m、33.89m、4.77m；在B、D、E类气象条件下，近距离环境空气质量受到严重污染。从上述结果可以看出，本项目环境风险最大值为泄漏后的火灾爆炸，其半致死浓度没有出现，出现的短时间接触容许浓度最远距离为33.89m，在厂界范围内，对厂界外环境影响不大，在环境风险可接受水平范围内。</w:t>
      </w:r>
    </w:p>
    <w:p>
      <w:pPr>
        <w:pStyle w:val="124"/>
        <w:ind w:firstLine="560"/>
      </w:pPr>
      <w:r>
        <w:rPr>
          <w:rFonts w:hint="eastAsia"/>
        </w:rPr>
        <w:t>当发生事故时，由</w:t>
      </w:r>
      <w:r>
        <w:t>应急</w:t>
      </w:r>
      <w:r>
        <w:rPr>
          <w:rFonts w:hint="eastAsia"/>
        </w:rPr>
        <w:t>指挥</w:t>
      </w:r>
      <w:r>
        <w:t>组</w:t>
      </w:r>
      <w:r>
        <w:rPr>
          <w:rFonts w:hint="eastAsia"/>
        </w:rPr>
        <w:t>负责向周边事故影响的单位、社区通报事故及影响，说明疏散的有关事项及方向；发生重大环境事件时，可能危及周边区域的单位、社会安全时，领导小组应与政府有关部门联系，配合政府领导人员疏散至安全地点。</w:t>
      </w:r>
    </w:p>
    <w:p>
      <w:pPr>
        <w:pStyle w:val="124"/>
        <w:numPr>
          <w:ilvl w:val="0"/>
          <w:numId w:val="0"/>
        </w:numPr>
        <w:ind w:leftChars="0" w:firstLine="560" w:firstLineChars="200"/>
      </w:pPr>
      <w:r>
        <w:rPr>
          <w:rFonts w:hint="eastAsia"/>
          <w:lang w:eastAsia="zh-CN"/>
        </w:rPr>
        <w:t>（</w:t>
      </w:r>
      <w:r>
        <w:rPr>
          <w:rFonts w:hint="eastAsia"/>
          <w:lang w:val="en-US" w:eastAsia="zh-CN"/>
        </w:rPr>
        <w:t>2</w:t>
      </w:r>
      <w:r>
        <w:rPr>
          <w:rFonts w:hint="eastAsia"/>
          <w:lang w:eastAsia="zh-CN"/>
        </w:rPr>
        <w:t>）</w:t>
      </w:r>
      <w:r>
        <w:rPr>
          <w:rFonts w:hint="eastAsia"/>
        </w:rPr>
        <w:t>水污染事件保护目标的应急措施</w:t>
      </w:r>
    </w:p>
    <w:p>
      <w:pPr>
        <w:pStyle w:val="124"/>
        <w:ind w:firstLine="560"/>
      </w:pPr>
      <w:r>
        <w:rPr>
          <w:rFonts w:hint="eastAsia"/>
        </w:rPr>
        <w:t>若润滑油泄漏</w:t>
      </w:r>
      <w:r>
        <w:t>时，应隔绝一切火源，防止发生燃烧和爆炸；</w:t>
      </w:r>
      <w:r>
        <w:rPr>
          <w:rFonts w:hint="eastAsia"/>
        </w:rPr>
        <w:t>现场用</w:t>
      </w:r>
      <w:r>
        <w:t>沙土</w:t>
      </w:r>
      <w:r>
        <w:rPr>
          <w:rFonts w:hint="eastAsia"/>
        </w:rPr>
        <w:t>围</w:t>
      </w:r>
      <w:r>
        <w:t>堤，回收</w:t>
      </w:r>
      <w:r>
        <w:rPr>
          <w:rFonts w:hint="eastAsia"/>
        </w:rPr>
        <w:t>物料</w:t>
      </w:r>
      <w:r>
        <w:t>，</w:t>
      </w:r>
      <w:r>
        <w:rPr>
          <w:rFonts w:hint="eastAsia"/>
        </w:rPr>
        <w:t>避免</w:t>
      </w:r>
      <w:r>
        <w:t>流入下水道等密闭系统；不得</w:t>
      </w:r>
      <w:r>
        <w:rPr>
          <w:rFonts w:hint="eastAsia"/>
        </w:rPr>
        <w:t>用</w:t>
      </w:r>
      <w:r>
        <w:t>水冲洗地面，防止污染区域扩大；可通过控制</w:t>
      </w:r>
      <w:r>
        <w:rPr>
          <w:rFonts w:hint="eastAsia"/>
        </w:rPr>
        <w:t>泄漏源</w:t>
      </w:r>
      <w:r>
        <w:t>来消除</w:t>
      </w:r>
      <w:r>
        <w:rPr>
          <w:rFonts w:hint="eastAsia"/>
        </w:rPr>
        <w:t>润滑油</w:t>
      </w:r>
      <w:r>
        <w:t>的</w:t>
      </w:r>
      <w:r>
        <w:rPr>
          <w:rFonts w:hint="eastAsia"/>
        </w:rPr>
        <w:t>溢出</w:t>
      </w:r>
      <w:r>
        <w:t>或</w:t>
      </w:r>
      <w:r>
        <w:rPr>
          <w:rFonts w:hint="eastAsia"/>
        </w:rPr>
        <w:t>泄漏</w:t>
      </w:r>
      <w:r>
        <w:t>；</w:t>
      </w:r>
      <w:r>
        <w:rPr>
          <w:rFonts w:hint="eastAsia"/>
        </w:rPr>
        <w:t>现场泄漏</w:t>
      </w:r>
      <w:r>
        <w:t>物应及时进行覆盖、收容</w:t>
      </w:r>
      <w:r>
        <w:rPr>
          <w:rFonts w:hint="eastAsia"/>
        </w:rPr>
        <w:t>和</w:t>
      </w:r>
      <w:r>
        <w:t>稀释、使</w:t>
      </w:r>
      <w:r>
        <w:rPr>
          <w:rFonts w:hint="eastAsia"/>
        </w:rPr>
        <w:t>泄漏</w:t>
      </w:r>
      <w:r>
        <w:t>物得到</w:t>
      </w:r>
      <w:r>
        <w:rPr>
          <w:rFonts w:hint="eastAsia"/>
        </w:rPr>
        <w:t>安全</w:t>
      </w:r>
      <w:r>
        <w:t>可靠</w:t>
      </w:r>
      <w:r>
        <w:rPr>
          <w:rFonts w:hint="eastAsia"/>
        </w:rPr>
        <w:t>的</w:t>
      </w:r>
      <w:r>
        <w:t>处理，防止二次</w:t>
      </w:r>
      <w:r>
        <w:rPr>
          <w:rFonts w:hint="eastAsia"/>
        </w:rPr>
        <w:t>事故</w:t>
      </w:r>
      <w:r>
        <w:t>的发生。</w:t>
      </w:r>
      <w:r>
        <w:rPr>
          <w:rFonts w:hint="eastAsia"/>
        </w:rPr>
        <w:t>环境风险</w:t>
      </w:r>
      <w:r>
        <w:t>均在可</w:t>
      </w:r>
      <w:r>
        <w:rPr>
          <w:rFonts w:hint="eastAsia"/>
        </w:rPr>
        <w:t>接受</w:t>
      </w:r>
      <w:r>
        <w:t>范围内。</w:t>
      </w:r>
    </w:p>
    <w:p>
      <w:pPr>
        <w:pStyle w:val="124"/>
        <w:numPr>
          <w:ilvl w:val="0"/>
          <w:numId w:val="0"/>
        </w:numPr>
        <w:ind w:leftChars="0" w:firstLine="560" w:firstLineChars="200"/>
      </w:pPr>
      <w:r>
        <w:rPr>
          <w:rFonts w:hint="eastAsia"/>
          <w:lang w:eastAsia="zh-CN"/>
        </w:rPr>
        <w:t>（</w:t>
      </w:r>
      <w:r>
        <w:rPr>
          <w:rFonts w:hint="eastAsia"/>
          <w:lang w:val="en-US" w:eastAsia="zh-CN"/>
        </w:rPr>
        <w:t>3</w:t>
      </w:r>
      <w:r>
        <w:rPr>
          <w:rFonts w:hint="eastAsia"/>
          <w:lang w:eastAsia="zh-CN"/>
        </w:rPr>
        <w:t>）</w:t>
      </w:r>
      <w:r>
        <w:rPr>
          <w:rFonts w:hint="eastAsia"/>
        </w:rPr>
        <w:t>土壤污染事件保护目标的应急措施</w:t>
      </w:r>
    </w:p>
    <w:p>
      <w:pPr>
        <w:pStyle w:val="124"/>
        <w:ind w:firstLine="560"/>
      </w:pPr>
      <w:r>
        <w:rPr>
          <w:rFonts w:hint="eastAsia"/>
        </w:rPr>
        <w:t>若润滑油泄漏下渗</w:t>
      </w:r>
      <w:r>
        <w:t>污染</w:t>
      </w:r>
      <w:r>
        <w:rPr>
          <w:rFonts w:hint="eastAsia"/>
        </w:rPr>
        <w:t>土壤，若泄漏量较小，且均已下渗至土壤内，则应对受污染的土壤进行采挖收集，并交由新疆危险废物处置中心进行合理处置。若泄漏</w:t>
      </w:r>
      <w:r>
        <w:t>量较大，</w:t>
      </w:r>
      <w:r>
        <w:rPr>
          <w:rFonts w:hint="eastAsia"/>
        </w:rPr>
        <w:t>针对</w:t>
      </w:r>
      <w:r>
        <w:t>场地</w:t>
      </w:r>
      <w:r>
        <w:rPr>
          <w:rFonts w:hint="eastAsia"/>
        </w:rPr>
        <w:t>环境</w:t>
      </w:r>
      <w:r>
        <w:t>调查和风险评估资料</w:t>
      </w:r>
      <w:r>
        <w:rPr>
          <w:rFonts w:hint="eastAsia"/>
        </w:rPr>
        <w:t>进行</w:t>
      </w:r>
      <w:r>
        <w:t>分析，结合必要的补充调查污染场地土壤修复的目标污染物</w:t>
      </w:r>
      <w:r>
        <w:rPr>
          <w:rFonts w:hint="eastAsia"/>
        </w:rPr>
        <w:t>、</w:t>
      </w:r>
      <w:r>
        <w:t>修复目标值和修复</w:t>
      </w:r>
      <w:r>
        <w:rPr>
          <w:rFonts w:hint="eastAsia"/>
        </w:rPr>
        <w:t>范围，</w:t>
      </w:r>
      <w:r>
        <w:t>确定修复方案。为了</w:t>
      </w:r>
      <w:r>
        <w:rPr>
          <w:rFonts w:hint="eastAsia"/>
        </w:rPr>
        <w:t>确保</w:t>
      </w:r>
      <w:r>
        <w:t>场地</w:t>
      </w:r>
      <w:r>
        <w:rPr>
          <w:rFonts w:hint="eastAsia"/>
        </w:rPr>
        <w:t>修复</w:t>
      </w:r>
      <w:r>
        <w:t>过程中施工人员与周围人员的安全，应制定周密的场地修复工程应急安全计划</w:t>
      </w:r>
      <w:r>
        <w:rPr>
          <w:rFonts w:hint="eastAsia"/>
        </w:rPr>
        <w:t>。</w:t>
      </w:r>
    </w:p>
    <w:p>
      <w:pPr>
        <w:pStyle w:val="124"/>
        <w:ind w:firstLine="0" w:firstLineChars="0"/>
        <w:jc w:val="left"/>
        <w:rPr>
          <w:b/>
        </w:rPr>
      </w:pPr>
      <w:r>
        <w:rPr>
          <w:rFonts w:hint="eastAsia"/>
          <w:b/>
        </w:rPr>
        <w:t>6.2.1.2受伤人员现场救护、救治与医院救治</w:t>
      </w:r>
    </w:p>
    <w:p>
      <w:pPr>
        <w:pStyle w:val="124"/>
        <w:ind w:firstLine="560"/>
      </w:pPr>
      <w:r>
        <w:rPr>
          <w:rFonts w:hint="eastAsia"/>
        </w:rPr>
        <w:t>（1）接触人群伤检分类及救护、救治</w:t>
      </w:r>
    </w:p>
    <w:p>
      <w:pPr>
        <w:pStyle w:val="124"/>
        <w:ind w:firstLine="560"/>
      </w:pPr>
      <w:r>
        <w:rPr>
          <w:rFonts w:hint="eastAsia"/>
        </w:rPr>
        <w:t>发生事故后，应将受伤人员及中毒人员迅速脱离现场，将患者移到空气新鲜的地方，松开扣紧的衣服，脱去被污染的衣裤，并注意保暖，仔细检查病人的病情。在搬运过程中要冷静，注意安全及时请医生就诊，由医生根据烧伤、中毒分级，采取必要的现场紧急抢救方案，确定烧伤度及中毒程度。</w:t>
      </w:r>
    </w:p>
    <w:p>
      <w:pPr>
        <w:pStyle w:val="124"/>
        <w:ind w:firstLine="560"/>
      </w:pPr>
      <w:r>
        <w:rPr>
          <w:rFonts w:hint="eastAsia"/>
        </w:rPr>
        <w:t>（2）对患者进行分类现场抢救方案</w:t>
      </w:r>
    </w:p>
    <w:p>
      <w:pPr>
        <w:pStyle w:val="124"/>
        <w:ind w:firstLine="56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皮肤轻度烧伤，立即将患者移离现场迅速脱去被污的衣裤、鞋袜等，用大量自来水或清水冲洗创面15~30分钟，新鲜创面上不要随意涂油膏、红药水或紫药水，不能脏布包裹。如发生眼烧伤，迅速用自来水或清水冲洗，冲洗时眼皮要掰开。</w:t>
      </w:r>
    </w:p>
    <w:p>
      <w:pPr>
        <w:pStyle w:val="124"/>
        <w:ind w:firstLine="56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深度烧伤立即送医院救治。</w:t>
      </w:r>
    </w:p>
    <w:p>
      <w:pPr>
        <w:pStyle w:val="124"/>
        <w:ind w:firstLine="56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吸入中毒者，应迅速脱离现场，向上风处转移至空气新鲜处松开患者的衣领和裤带并注意保暖。</w:t>
      </w:r>
    </w:p>
    <w:p>
      <w:pPr>
        <w:pStyle w:val="124"/>
        <w:ind w:firstLine="56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对中毒烧伤人员引起呼吸、心跳停止者，应进行心肺复苏的办法，首先要保证呼吸道畅通，然后进行人工呼吸和胸外心脏挤压术。</w:t>
      </w:r>
    </w:p>
    <w:p>
      <w:pPr>
        <w:pStyle w:val="124"/>
        <w:ind w:firstLine="560"/>
      </w:pPr>
      <w:r>
        <w:rPr>
          <w:rFonts w:hint="eastAsia"/>
        </w:rPr>
        <w:t>人工呼吸采用口对口人工呼吸，方法：患者仰卧，术者托起患者下鄂，并尽量使其头部后仰；另一手捏紧患者鼻孔。救助者深吸气后，对伤员的口吹气然后松开捏鼻的手，如此有节律地、均匀地反复进行，每分钟14~16次。吹气的压力视患者具体情况而不同，一般刚开始时吹气压力可略大些，频率稍快些，10~20次后将压力减小，维持胸部升起即可。</w:t>
      </w:r>
    </w:p>
    <w:p>
      <w:pPr>
        <w:pStyle w:val="124"/>
        <w:ind w:firstLine="560"/>
      </w:pPr>
      <w:r>
        <w:rPr>
          <w:rFonts w:hint="eastAsia"/>
        </w:rPr>
        <w:t>心脏胸外挤压术，具体方法是：患者平仰卧在硬地上或木板床上，抢救者在患者一侧或骑跨在患者身上，面向头部，用双手掌根以冲击式挤压患者胸骨下端略靠左方。每分钟60</w:t>
      </w:r>
      <w:r>
        <w:t>~</w:t>
      </w:r>
      <w:r>
        <w:rPr>
          <w:rFonts w:hint="eastAsia"/>
        </w:rPr>
        <w:t>70次。挤压时应注意不要用力过猛，以免发生肋骨骨折，血气胸等。一般下压3</w:t>
      </w:r>
      <w:r>
        <w:t>~</w:t>
      </w:r>
      <w:r>
        <w:rPr>
          <w:rFonts w:hint="eastAsia"/>
        </w:rPr>
        <w:t>5 cm即可。如果患者呼吸、心跳停止，则需要两人进行，一人口对口人工呼吸，另一人行心脏挤压术；两者操作的比例约为1: 5。在送医院途中心肺复苏术不能中断。</w:t>
      </w:r>
    </w:p>
    <w:p>
      <w:pPr>
        <w:pStyle w:val="124"/>
        <w:ind w:firstLine="560"/>
      </w:pPr>
      <w:r>
        <w:rPr>
          <w:rFonts w:hint="eastAsia"/>
        </w:rPr>
        <w:t>对于中度中毒以上的患者应积极护送医院进行治疗。</w:t>
      </w:r>
    </w:p>
    <w:p>
      <w:pPr>
        <w:pStyle w:val="124"/>
        <w:ind w:firstLine="560"/>
      </w:pPr>
      <w:r>
        <w:rPr>
          <w:rFonts w:hint="eastAsia"/>
        </w:rPr>
        <w:t>（3）对接触者的医疗观察方案</w:t>
      </w:r>
    </w:p>
    <w:p>
      <w:pPr>
        <w:pStyle w:val="124"/>
        <w:ind w:firstLine="560"/>
      </w:pPr>
      <w:r>
        <w:rPr>
          <w:rFonts w:hint="eastAsia"/>
        </w:rPr>
        <w:t>出现刺激反应者，至少观察12小时，中毒患者应卧床休息，避免活动后引起病情加重。必要时做心电图检查以供参考。</w:t>
      </w:r>
    </w:p>
    <w:p>
      <w:pPr>
        <w:pStyle w:val="124"/>
        <w:ind w:firstLine="560"/>
      </w:pPr>
      <w:r>
        <w:rPr>
          <w:rFonts w:hint="eastAsia"/>
        </w:rPr>
        <w:t>（4）患者运送及转运中的救治方案</w:t>
      </w:r>
    </w:p>
    <w:p>
      <w:pPr>
        <w:pStyle w:val="124"/>
        <w:ind w:firstLine="700" w:firstLineChars="25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搬运伤员移上担架时，应头部向后，足部向前，担架行走时，两人快慢要相同，平衡前进。向高处抬运时，前面的人手要放低，腰部弯屈走；抬后面的人要搭在肩上，勿使担架两头高低相差太大。向低处抬时，和上面相反。担架两旁有人看护，防止伤员翻落。</w:t>
      </w:r>
    </w:p>
    <w:p>
      <w:pPr>
        <w:pStyle w:val="124"/>
        <w:ind w:firstLine="700" w:firstLineChars="25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中毒者一般采用坐位或半卧位，患者呼吸及咳嗽。昏迷患者平卧头偏向一侧，休克患者要将其双腿垫高，使之高于头部以保证回心血量。中毒性肺水肿、急性肺心病，心力衰竭病人务必采取半卧位，并限制活动，减少耗氧量。</w:t>
      </w:r>
    </w:p>
    <w:p>
      <w:pPr>
        <w:pStyle w:val="124"/>
        <w:ind w:firstLine="700" w:firstLineChars="25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救护车转送时车速不宜过快，务求平稳减少颠簸，以免加重病情。担架应固定可靠，以减少左右前后摇摆的影响，预防机械性损伤。</w:t>
      </w:r>
    </w:p>
    <w:p>
      <w:pPr>
        <w:pStyle w:val="124"/>
        <w:ind w:firstLine="700" w:firstLineChars="250"/>
      </w:pPr>
      <w:r>
        <w:fldChar w:fldCharType="begin"/>
      </w:r>
      <w:r>
        <w:instrText xml:space="preserve"> </w:instrText>
      </w:r>
      <w:r>
        <w:rPr>
          <w:rFonts w:hint="eastAsia"/>
        </w:rPr>
        <w:instrText xml:space="preserve">= 4 \* GB3</w:instrText>
      </w:r>
      <w:r>
        <w:instrText xml:space="preserve"> </w:instrText>
      </w:r>
      <w:r>
        <w:fldChar w:fldCharType="separate"/>
      </w:r>
      <w:r>
        <w:rPr>
          <w:rFonts w:hint="eastAsia"/>
        </w:rPr>
        <w:t>④</w:t>
      </w:r>
      <w:r>
        <w:fldChar w:fldCharType="end"/>
      </w:r>
      <w:r>
        <w:rPr>
          <w:rFonts w:hint="eastAsia"/>
        </w:rPr>
        <w:t>运送途中救治方案按现场紧急抢救方案有关规定执行。</w:t>
      </w:r>
    </w:p>
    <w:p>
      <w:pPr>
        <w:pStyle w:val="124"/>
        <w:ind w:firstLine="700" w:firstLineChars="250"/>
      </w:pPr>
      <w:r>
        <w:fldChar w:fldCharType="begin"/>
      </w:r>
      <w:r>
        <w:instrText xml:space="preserve"> </w:instrText>
      </w:r>
      <w:r>
        <w:rPr>
          <w:rFonts w:hint="eastAsia"/>
        </w:rPr>
        <w:instrText xml:space="preserve">= 5 \* GB3</w:instrText>
      </w:r>
      <w:r>
        <w:instrText xml:space="preserve"> </w:instrText>
      </w:r>
      <w:r>
        <w:fldChar w:fldCharType="separate"/>
      </w:r>
      <w:r>
        <w:rPr>
          <w:rFonts w:hint="eastAsia"/>
        </w:rPr>
        <w:t>⑤</w:t>
      </w:r>
      <w:r>
        <w:fldChar w:fldCharType="end"/>
      </w:r>
      <w:r>
        <w:rPr>
          <w:rFonts w:hint="eastAsia"/>
        </w:rPr>
        <w:t>护送人员必须做好现场抢救，途中病情观察、处置与护理、通讯联系等记录，到达目的医院后进行交班，移运医疗记录。</w:t>
      </w:r>
    </w:p>
    <w:p>
      <w:pPr>
        <w:pStyle w:val="124"/>
        <w:ind w:firstLine="560"/>
      </w:pPr>
      <w:r>
        <w:rPr>
          <w:rFonts w:hint="eastAsia"/>
        </w:rPr>
        <w:t>（5）救治机构的确定</w:t>
      </w:r>
    </w:p>
    <w:p>
      <w:pPr>
        <w:pStyle w:val="124"/>
        <w:ind w:firstLine="700" w:firstLineChars="25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事故现场发现人员严重受伤时，迅速拨打“120”救护车及时抢救。</w:t>
      </w:r>
    </w:p>
    <w:p>
      <w:pPr>
        <w:pStyle w:val="124"/>
        <w:ind w:firstLine="700" w:firstLineChars="25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以送鲁木齐铁路局乌西医为主。</w:t>
      </w:r>
    </w:p>
    <w:p>
      <w:pPr>
        <w:pStyle w:val="124"/>
        <w:ind w:firstLine="560"/>
      </w:pPr>
      <w:r>
        <w:rPr>
          <w:rFonts w:hint="eastAsia"/>
        </w:rPr>
        <w:t>（6）提供有关信息</w:t>
      </w:r>
    </w:p>
    <w:p>
      <w:pPr>
        <w:pStyle w:val="124"/>
        <w:ind w:firstLine="700" w:firstLineChars="25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提供受伤人员的致伤信息。</w:t>
      </w:r>
    </w:p>
    <w:p>
      <w:pPr>
        <w:pStyle w:val="124"/>
        <w:ind w:firstLine="700" w:firstLineChars="25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受伤者应有单位人员护送，给医生提供个人一般信息：姓名、年龄、职业、婚姻状况、原病史等。</w:t>
      </w:r>
    </w:p>
    <w:p>
      <w:pPr>
        <w:pStyle w:val="124"/>
        <w:ind w:firstLine="700" w:firstLineChars="250"/>
      </w:pPr>
      <w:r>
        <w:fldChar w:fldCharType="begin"/>
      </w:r>
      <w:r>
        <w:instrText xml:space="preserve"> </w:instrText>
      </w:r>
      <w:r>
        <w:rPr>
          <w:rFonts w:hint="eastAsia"/>
        </w:rPr>
        <w:instrText xml:space="preserve">= 3 \* GB3</w:instrText>
      </w:r>
      <w:r>
        <w:instrText xml:space="preserve"> </w:instrText>
      </w:r>
      <w:r>
        <w:fldChar w:fldCharType="separate"/>
      </w:r>
      <w:r>
        <w:rPr>
          <w:rFonts w:hint="eastAsia"/>
        </w:rPr>
        <w:t>③</w:t>
      </w:r>
      <w:r>
        <w:fldChar w:fldCharType="end"/>
      </w:r>
      <w:r>
        <w:rPr>
          <w:rFonts w:hint="eastAsia"/>
        </w:rPr>
        <w:t>提供毒物信息：理化特性、中毒机理、应急救援药品等。</w:t>
      </w:r>
    </w:p>
    <w:p>
      <w:pPr>
        <w:pStyle w:val="132"/>
      </w:pPr>
      <w:bookmarkStart w:id="200" w:name="_Toc463949107"/>
      <w:bookmarkStart w:id="201" w:name="_Toc11078"/>
      <w:bookmarkStart w:id="202" w:name="_Toc505945722"/>
      <w:bookmarkStart w:id="203" w:name="_Toc20952"/>
      <w:r>
        <w:rPr>
          <w:rFonts w:hint="eastAsia"/>
        </w:rPr>
        <w:t>启动应急响应</w:t>
      </w:r>
      <w:bookmarkEnd w:id="200"/>
      <w:bookmarkEnd w:id="201"/>
      <w:bookmarkEnd w:id="202"/>
      <w:bookmarkEnd w:id="203"/>
    </w:p>
    <w:p>
      <w:pPr>
        <w:pStyle w:val="124"/>
        <w:ind w:firstLine="560"/>
      </w:pPr>
      <w:r>
        <w:t>企业应急指挥中心接警后，及时调度指挥，成立现场应急指挥部，通知应急响应中心各成员进行应急处置</w:t>
      </w:r>
      <w:r>
        <w:rPr>
          <w:rFonts w:hint="eastAsia"/>
        </w:rPr>
        <w:t>。响应步骤如下：</w:t>
      </w:r>
    </w:p>
    <w:p>
      <w:pPr>
        <w:pStyle w:val="124"/>
        <w:ind w:firstLine="560"/>
      </w:pPr>
      <w:r>
        <w:rPr>
          <w:rFonts w:hint="eastAsia"/>
        </w:rPr>
        <w:t>（1）应急总指挥发出启动应急预案命令后，立即通知各应急小组组长，由组长通知各组员，各组组员立即进入应急状态。</w:t>
      </w:r>
    </w:p>
    <w:p>
      <w:pPr>
        <w:pStyle w:val="124"/>
        <w:ind w:firstLine="560"/>
      </w:pPr>
      <w:r>
        <w:rPr>
          <w:rFonts w:hint="eastAsia"/>
        </w:rPr>
        <w:t>（2）各应急成员迅速到位，按预案要求及现场处置方案规定的职责立即进行救援活动。</w:t>
      </w:r>
      <w:r>
        <w:t xml:space="preserve"> </w:t>
      </w:r>
    </w:p>
    <w:p>
      <w:pPr>
        <w:pStyle w:val="124"/>
        <w:ind w:firstLine="560"/>
      </w:pPr>
      <w:r>
        <w:rPr>
          <w:rFonts w:hint="eastAsia"/>
        </w:rPr>
        <w:t>（3）现场人员已将事故消除，应急总指挥应及时调查事故原因，做好事故防范措施，并追究相关责任人。</w:t>
      </w:r>
    </w:p>
    <w:p>
      <w:pPr>
        <w:pStyle w:val="131"/>
      </w:pPr>
      <w:bookmarkStart w:id="204" w:name="_Toc26546"/>
      <w:bookmarkStart w:id="205" w:name="_Toc463949109"/>
      <w:bookmarkStart w:id="206" w:name="_Toc22817"/>
      <w:bookmarkStart w:id="207" w:name="_Toc505945723"/>
      <w:r>
        <w:rPr>
          <w:rFonts w:hint="eastAsia"/>
        </w:rPr>
        <w:t>应急处置</w:t>
      </w:r>
      <w:bookmarkEnd w:id="204"/>
      <w:bookmarkEnd w:id="205"/>
      <w:bookmarkEnd w:id="206"/>
      <w:bookmarkEnd w:id="207"/>
    </w:p>
    <w:p>
      <w:pPr>
        <w:pStyle w:val="124"/>
        <w:ind w:firstLine="560"/>
      </w:pPr>
      <w:r>
        <w:rPr>
          <w:rFonts w:hint="eastAsia"/>
        </w:rPr>
        <w:t>发生事故后，最早发现者应立即通知公司总指挥</w:t>
      </w:r>
      <w:r>
        <w:rPr>
          <w:rFonts w:hint="eastAsia"/>
          <w:color w:val="000000" w:themeColor="text1"/>
          <w14:textFill>
            <w14:solidFill>
              <w14:schemeClr w14:val="tx1"/>
            </w14:solidFill>
          </w14:textFill>
        </w:rPr>
        <w:t>（</w:t>
      </w:r>
      <w:r>
        <w:rPr>
          <w:rFonts w:hint="eastAsia" w:ascii="仿宋" w:hAnsi="仿宋"/>
          <w:bCs w:val="0"/>
          <w:iCs w:val="0"/>
        </w:rPr>
        <w:t>涂晶</w:t>
      </w:r>
      <w:r>
        <w:rPr>
          <w:rFonts w:hint="eastAsia"/>
        </w:rPr>
        <w:t>，手机</w:t>
      </w:r>
      <w:r>
        <w:rPr>
          <w:rFonts w:cs="Times New Roman"/>
        </w:rPr>
        <w:t>：</w:t>
      </w:r>
      <w:r>
        <w:rPr>
          <w:rFonts w:hint="eastAsia"/>
        </w:rPr>
        <w:t>18690621618）</w:t>
      </w:r>
      <w:r>
        <w:rPr>
          <w:rFonts w:hint="eastAsia"/>
          <w:color w:val="000000" w:themeColor="text1"/>
          <w14:textFill>
            <w14:solidFill>
              <w14:schemeClr w14:val="tx1"/>
            </w14:solidFill>
          </w14:textFill>
        </w:rPr>
        <w:t>及值班领导拨打119，</w:t>
      </w:r>
      <w:r>
        <w:rPr>
          <w:rFonts w:hint="eastAsia"/>
        </w:rPr>
        <w:t>报告事故部位（或装置），并根据事故情况召集应急救援小组，及时采取一切办法控制泄漏蔓延。</w:t>
      </w:r>
    </w:p>
    <w:p>
      <w:pPr>
        <w:pStyle w:val="124"/>
        <w:ind w:firstLine="560"/>
      </w:pPr>
      <w:r>
        <w:rPr>
          <w:rFonts w:hint="eastAsia"/>
        </w:rPr>
        <w:t>（1）事故第一发现者应立即通过所有通讯方式向当班班长报告，当班班长接到报告后立即上报部长，并迅速到场了解情况。</w:t>
      </w:r>
    </w:p>
    <w:p>
      <w:pPr>
        <w:pStyle w:val="124"/>
        <w:ind w:firstLine="560"/>
      </w:pPr>
      <w:r>
        <w:rPr>
          <w:rFonts w:hint="eastAsia"/>
        </w:rPr>
        <w:t>（2）部长接到报警后，应迅速通知有关部门、车间，要求查明事故发生的部位（装置）和原因，判定事故响应级别，构成重大危险化学品事故时，下达按应急救援预案处置的指令，同时发出警报，上报总指挥，通知消防队和各专业救援队伍迅速赶往事故现场。</w:t>
      </w:r>
    </w:p>
    <w:p>
      <w:pPr>
        <w:pStyle w:val="124"/>
        <w:ind w:firstLine="560"/>
      </w:pPr>
      <w:r>
        <w:rPr>
          <w:rFonts w:hint="eastAsia"/>
        </w:rPr>
        <w:t>（3）指挥部根据对事故发展趋势和预测，条件允许下通过电话作出撤离警报；撤离警报发出后，门卫保安人员将对公司大门开至最大，指挥厂内人员及车辆单向离开，并禁止再次进入。同时指挥外部救助车辆有序进入厂区。撤离警报发出后，全体员工应关闭正在操作的电气设备，按照“紧急疏散示意图”及当时上风向撤离，到指定安全地点集合。在发现有人员受伤时，应先判断环境的安全再进行救助，全体员工尽快离开后,迅速在事先指定的地方集中。同时统计应到人数，并及时向集中区统一报告，以便及时了解是否存在员工滞留危险区域中。全体人员在指定集中地点停留，直至警报解除。（疏散路线图见附件</w:t>
      </w:r>
      <w:r>
        <w:t>5</w:t>
      </w:r>
      <w:r>
        <w:rPr>
          <w:rFonts w:hint="eastAsia"/>
        </w:rPr>
        <w:t>）</w:t>
      </w:r>
    </w:p>
    <w:p>
      <w:pPr>
        <w:pStyle w:val="124"/>
        <w:ind w:firstLine="560"/>
      </w:pPr>
      <w:r>
        <w:rPr>
          <w:rFonts w:hint="eastAsia"/>
        </w:rPr>
        <w:t>（4）发生事故的车间，应迅速查明事故发生源点、泄漏部位和原因，凡能经切断物料或倒槽等处理措施而消除事故的，则以自救为主。如泄漏部位自己不能控制的，应向指挥部报告并提出堵漏或抢修的具体措施。</w:t>
      </w:r>
    </w:p>
    <w:p>
      <w:pPr>
        <w:pStyle w:val="124"/>
        <w:ind w:firstLine="560"/>
      </w:pPr>
      <w:r>
        <w:rPr>
          <w:rFonts w:hint="eastAsia"/>
        </w:rPr>
        <w:t>（5）应急指挥组组长负责事故现场救灾的总体指挥和协调工作。制定措施，调整抢险救援程序。并负责事故现场救护、转运指挥以及与通讯联络组的联系、协调。负责事故现场安全、消防处理措施。根据现场情况制定工艺措施，调整抢险程序和救灾有关设备设施、物资、抢修施工方面的指挥工作。负责事故现场的抢险工作。并抢救受伤人员，同时配合医疗救护组将伤员送往医院，并且负责各类安全生产事故的现场指挥和救援人员的调配，指挥救援人员紧急救护受伤人员。配合调配现场应急资源收集、整理应急处置过程有关资料。</w:t>
      </w:r>
    </w:p>
    <w:p>
      <w:pPr>
        <w:pStyle w:val="124"/>
        <w:ind w:firstLine="560"/>
      </w:pPr>
      <w:r>
        <w:rPr>
          <w:rFonts w:hint="eastAsia"/>
        </w:rPr>
        <w:t>（6）</w:t>
      </w:r>
      <w:r>
        <w:rPr>
          <w:rFonts w:hint="eastAsia"/>
          <w:color w:val="000000" w:themeColor="text1"/>
          <w14:textFill>
            <w14:solidFill>
              <w14:schemeClr w14:val="tx1"/>
            </w14:solidFill>
          </w14:textFill>
        </w:rPr>
        <w:t>事故抢险组（组长：</w:t>
      </w:r>
      <w:r>
        <w:rPr>
          <w:rFonts w:hint="eastAsia" w:ascii="仿宋" w:hAnsi="仿宋"/>
          <w:bCs w:val="0"/>
          <w:iCs w:val="0"/>
          <w:color w:val="000000" w:themeColor="text1"/>
          <w14:textFill>
            <w14:solidFill>
              <w14:schemeClr w14:val="tx1"/>
            </w14:solidFill>
          </w14:textFill>
        </w:rPr>
        <w:t>陈磊</w:t>
      </w:r>
      <w:r>
        <w:rPr>
          <w:rFonts w:hint="eastAsia"/>
          <w:color w:val="000000" w:themeColor="text1"/>
          <w14:textFill>
            <w14:solidFill>
              <w14:schemeClr w14:val="tx1"/>
            </w14:solidFill>
          </w14:textFill>
        </w:rPr>
        <w:t>）成员</w:t>
      </w:r>
      <w:r>
        <w:rPr>
          <w:rFonts w:hint="eastAsia"/>
        </w:rPr>
        <w:t>到达事故现场后，根据发生事故状态及危害程度做出相应的应急决定，并命令各应急救援队立即开展救援。如事故扩大时，应请求支援。到达事故现场后，会同发生事故的部门、车间，在查明泄漏部位和范围后根据能否控制，做出局部或全部停车的决定，对事故一时难以控制的及时向上级部门报告情况。</w:t>
      </w:r>
    </w:p>
    <w:p>
      <w:pPr>
        <w:pStyle w:val="124"/>
        <w:ind w:firstLine="560"/>
      </w:pPr>
      <w:r>
        <w:rPr>
          <w:rFonts w:hint="eastAsia"/>
        </w:rPr>
        <w:t>（7）医疗救护组</w:t>
      </w:r>
      <w:r>
        <w:rPr>
          <w:rFonts w:hint="eastAsia"/>
          <w:color w:val="000000" w:themeColor="text1"/>
          <w14:textFill>
            <w14:solidFill>
              <w14:schemeClr w14:val="tx1"/>
            </w14:solidFill>
          </w14:textFill>
        </w:rPr>
        <w:t>（组长</w:t>
      </w:r>
      <w:r>
        <w:rPr>
          <w:color w:val="000000" w:themeColor="text1"/>
          <w14:textFill>
            <w14:solidFill>
              <w14:schemeClr w14:val="tx1"/>
            </w14:solidFill>
          </w14:textFill>
        </w:rPr>
        <w:t>：</w:t>
      </w:r>
      <w:r>
        <w:rPr>
          <w:rFonts w:hint="eastAsia" w:ascii="仿宋" w:hAnsi="仿宋"/>
          <w:color w:val="000000" w:themeColor="text1"/>
          <w14:textFill>
            <w14:solidFill>
              <w14:schemeClr w14:val="tx1"/>
            </w14:solidFill>
          </w14:textFill>
        </w:rPr>
        <w:t>陈超</w:t>
      </w:r>
      <w:r>
        <w:rPr>
          <w:rFonts w:hint="eastAsia"/>
          <w:color w:val="000000" w:themeColor="text1"/>
          <w14:textFill>
            <w14:solidFill>
              <w14:schemeClr w14:val="tx1"/>
            </w14:solidFill>
          </w14:textFill>
        </w:rPr>
        <w:t>）</w:t>
      </w:r>
      <w:r>
        <w:rPr>
          <w:rFonts w:hint="eastAsia"/>
        </w:rPr>
        <w:t>负责与医疗机构的联系和沟通，并护送受伤人员送至医院。组员负责</w:t>
      </w:r>
      <w:r>
        <w:t>现场受伤人员</w:t>
      </w:r>
      <w:r>
        <w:rPr>
          <w:rFonts w:hint="eastAsia"/>
        </w:rPr>
        <w:t>的具体急救工作，并协助组长做好受伤人员的安抚工作。</w:t>
      </w:r>
    </w:p>
    <w:p>
      <w:pPr>
        <w:pStyle w:val="124"/>
        <w:ind w:firstLine="560"/>
      </w:pPr>
      <w:r>
        <w:rPr>
          <w:rFonts w:hint="eastAsia"/>
        </w:rPr>
        <w:t>（8</w:t>
      </w:r>
      <w:r>
        <w:rPr>
          <w:rFonts w:hint="eastAsia"/>
          <w:color w:val="000000" w:themeColor="text1"/>
          <w14:textFill>
            <w14:solidFill>
              <w14:schemeClr w14:val="tx1"/>
            </w14:solidFill>
          </w14:textFill>
        </w:rPr>
        <w:t>）物资供应组（组长：</w:t>
      </w:r>
      <w:r>
        <w:rPr>
          <w:rFonts w:hint="eastAsia"/>
          <w:color w:val="000000" w:themeColor="text1"/>
          <w:lang w:val="en-US" w:eastAsia="zh-CN"/>
          <w14:textFill>
            <w14:solidFill>
              <w14:schemeClr w14:val="tx1"/>
            </w14:solidFill>
          </w14:textFill>
        </w:rPr>
        <w:t>袁凯</w:t>
      </w:r>
      <w:r>
        <w:rPr>
          <w:rFonts w:hint="eastAsia"/>
          <w:color w:val="000000" w:themeColor="text1"/>
          <w14:textFill>
            <w14:solidFill>
              <w14:schemeClr w14:val="tx1"/>
            </w14:solidFill>
          </w14:textFill>
        </w:rPr>
        <w:t>）</w:t>
      </w:r>
      <w:r>
        <w:rPr>
          <w:rFonts w:hint="eastAsia"/>
        </w:rPr>
        <w:t xml:space="preserve">负责安排事故应急救援物资的分配、协调。组员负责安排事故应急救援物资、生活必需品的供应、运输任务和伤员的运送工作。  </w:t>
      </w:r>
      <w:r>
        <w:t xml:space="preserve">       </w:t>
      </w:r>
    </w:p>
    <w:p>
      <w:pPr>
        <w:pStyle w:val="124"/>
        <w:ind w:firstLine="560"/>
      </w:pPr>
      <w:r>
        <w:rPr>
          <w:rFonts w:hint="eastAsia"/>
        </w:rPr>
        <w:t>（9）技术</w:t>
      </w:r>
      <w:r>
        <w:rPr>
          <w:rFonts w:hint="eastAsia"/>
          <w:color w:val="000000" w:themeColor="text1"/>
          <w14:textFill>
            <w14:solidFill>
              <w14:schemeClr w14:val="tx1"/>
            </w14:solidFill>
          </w14:textFill>
        </w:rPr>
        <w:t>组（组长</w:t>
      </w:r>
      <w:r>
        <w:rPr>
          <w:color w:val="000000" w:themeColor="text1"/>
          <w14:textFill>
            <w14:solidFill>
              <w14:schemeClr w14:val="tx1"/>
            </w14:solidFill>
          </w14:textFill>
        </w:rPr>
        <w:t>：</w:t>
      </w:r>
      <w:r>
        <w:rPr>
          <w:rFonts w:hint="eastAsia" w:ascii="仿宋" w:hAnsi="仿宋"/>
          <w:bCs w:val="0"/>
          <w:iCs w:val="0"/>
          <w:color w:val="000000" w:themeColor="text1"/>
          <w14:textFill>
            <w14:solidFill>
              <w14:schemeClr w14:val="tx1"/>
            </w14:solidFill>
          </w14:textFill>
        </w:rPr>
        <w:t>张寒峰</w:t>
      </w:r>
      <w:r>
        <w:rPr>
          <w:rFonts w:hint="eastAsia"/>
          <w:color w:val="000000" w:themeColor="text1"/>
          <w14:textFill>
            <w14:solidFill>
              <w14:schemeClr w14:val="tx1"/>
            </w14:solidFill>
          </w14:textFill>
        </w:rPr>
        <w:t>）</w:t>
      </w:r>
      <w:r>
        <w:rPr>
          <w:rFonts w:hint="eastAsia"/>
        </w:rPr>
        <w:t>负责事故处理过程中的技术指导以及对事故现场勘查取证，查清事故原因和事故责任，总结经验教训，制定防范措施，提出对事故及责任人的处理意见，并积极配合上级调查组工作。</w:t>
      </w:r>
    </w:p>
    <w:p>
      <w:pPr>
        <w:pStyle w:val="124"/>
        <w:ind w:firstLine="560"/>
      </w:pPr>
      <w:r>
        <w:rPr>
          <w:rFonts w:hint="eastAsia"/>
        </w:rPr>
        <w:t>（10）通讯</w:t>
      </w:r>
      <w:r>
        <w:rPr>
          <w:rFonts w:hint="eastAsia"/>
          <w:color w:val="000000" w:themeColor="text1"/>
          <w14:textFill>
            <w14:solidFill>
              <w14:schemeClr w14:val="tx1"/>
            </w14:solidFill>
          </w14:textFill>
        </w:rPr>
        <w:t>组（组长</w:t>
      </w:r>
      <w:r>
        <w:rPr>
          <w:color w:val="000000" w:themeColor="text1"/>
          <w14:textFill>
            <w14:solidFill>
              <w14:schemeClr w14:val="tx1"/>
            </w14:solidFill>
          </w14:textFill>
        </w:rPr>
        <w:t>：</w:t>
      </w:r>
      <w:r>
        <w:rPr>
          <w:rFonts w:hint="eastAsia" w:ascii="仿宋" w:hAnsi="仿宋"/>
          <w:bCs w:val="0"/>
          <w:iCs w:val="0"/>
          <w:color w:val="000000" w:themeColor="text1"/>
          <w14:textFill>
            <w14:solidFill>
              <w14:schemeClr w14:val="tx1"/>
            </w14:solidFill>
          </w14:textFill>
        </w:rPr>
        <w:t>王金</w:t>
      </w:r>
      <w:r>
        <w:rPr>
          <w:rFonts w:hint="eastAsia"/>
          <w:color w:val="000000" w:themeColor="text1"/>
          <w14:textFill>
            <w14:solidFill>
              <w14:schemeClr w14:val="tx1"/>
            </w14:solidFill>
          </w14:textFill>
        </w:rPr>
        <w:t>）</w:t>
      </w:r>
      <w:r>
        <w:rPr>
          <w:rFonts w:hint="eastAsia"/>
        </w:rPr>
        <w:t>负责事故状态下仪电系统的正常运行以及通讯工具的供给和运行。</w:t>
      </w:r>
    </w:p>
    <w:p>
      <w:pPr>
        <w:pStyle w:val="124"/>
        <w:ind w:firstLine="560"/>
      </w:pPr>
      <w:r>
        <w:rPr>
          <w:rFonts w:hint="eastAsia"/>
        </w:rPr>
        <w:t>事故发生后具体岗位人员应采取的具体措施如下：</w:t>
      </w:r>
    </w:p>
    <w:p>
      <w:pPr>
        <w:pStyle w:val="124"/>
        <w:ind w:firstLine="56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若润滑油</w:t>
      </w:r>
      <w:r>
        <w:t>发生</w:t>
      </w:r>
      <w:r>
        <w:rPr>
          <w:rFonts w:hint="eastAsia"/>
        </w:rPr>
        <w:t>泄漏</w:t>
      </w:r>
      <w:r>
        <w:t>时，应隔绝一切火源，防止发生燃烧和爆炸；</w:t>
      </w:r>
      <w:r>
        <w:rPr>
          <w:rFonts w:hint="eastAsia"/>
        </w:rPr>
        <w:t>现场用</w:t>
      </w:r>
      <w:r>
        <w:t>沙土</w:t>
      </w:r>
      <w:r>
        <w:rPr>
          <w:rFonts w:hint="eastAsia"/>
        </w:rPr>
        <w:t>围</w:t>
      </w:r>
      <w:r>
        <w:t>堤，回收</w:t>
      </w:r>
      <w:r>
        <w:rPr>
          <w:rFonts w:hint="eastAsia"/>
        </w:rPr>
        <w:t>物料</w:t>
      </w:r>
      <w:r>
        <w:t>，</w:t>
      </w:r>
      <w:r>
        <w:rPr>
          <w:rFonts w:hint="eastAsia"/>
        </w:rPr>
        <w:t>避免</w:t>
      </w:r>
      <w:r>
        <w:t>流入下水道等密闭系统；不得</w:t>
      </w:r>
      <w:r>
        <w:rPr>
          <w:rFonts w:hint="eastAsia"/>
        </w:rPr>
        <w:t>用</w:t>
      </w:r>
      <w:r>
        <w:t>水冲洗地面，防止污染区域扩大；可通过控制</w:t>
      </w:r>
      <w:r>
        <w:rPr>
          <w:rFonts w:hint="eastAsia"/>
        </w:rPr>
        <w:t>泄漏源</w:t>
      </w:r>
      <w:r>
        <w:t>来消除</w:t>
      </w:r>
      <w:r>
        <w:rPr>
          <w:rFonts w:hint="eastAsia"/>
        </w:rPr>
        <w:t>润滑油</w:t>
      </w:r>
      <w:r>
        <w:t>的</w:t>
      </w:r>
      <w:r>
        <w:rPr>
          <w:rFonts w:hint="eastAsia"/>
        </w:rPr>
        <w:t>溢出</w:t>
      </w:r>
      <w:r>
        <w:t>或</w:t>
      </w:r>
      <w:r>
        <w:rPr>
          <w:rFonts w:hint="eastAsia"/>
        </w:rPr>
        <w:t>泄漏</w:t>
      </w:r>
      <w:r>
        <w:t>；</w:t>
      </w:r>
      <w:r>
        <w:rPr>
          <w:rFonts w:hint="eastAsia"/>
        </w:rPr>
        <w:t>现场泄漏</w:t>
      </w:r>
      <w:r>
        <w:t>物应及时进行覆盖、收容</w:t>
      </w:r>
      <w:r>
        <w:rPr>
          <w:rFonts w:hint="eastAsia"/>
        </w:rPr>
        <w:t>和</w:t>
      </w:r>
      <w:r>
        <w:t>稀释、使</w:t>
      </w:r>
      <w:r>
        <w:rPr>
          <w:rFonts w:hint="eastAsia"/>
        </w:rPr>
        <w:t>泄漏</w:t>
      </w:r>
      <w:r>
        <w:t>物得到</w:t>
      </w:r>
      <w:r>
        <w:rPr>
          <w:rFonts w:hint="eastAsia"/>
        </w:rPr>
        <w:t>安全</w:t>
      </w:r>
      <w:r>
        <w:t>可靠</w:t>
      </w:r>
      <w:r>
        <w:rPr>
          <w:rFonts w:hint="eastAsia"/>
        </w:rPr>
        <w:t>的</w:t>
      </w:r>
      <w:r>
        <w:t>处理，防止二次</w:t>
      </w:r>
      <w:r>
        <w:rPr>
          <w:rFonts w:hint="eastAsia"/>
        </w:rPr>
        <w:t>事故</w:t>
      </w:r>
      <w:r>
        <w:t>的发生。</w:t>
      </w:r>
    </w:p>
    <w:p>
      <w:pPr>
        <w:pStyle w:val="124"/>
        <w:ind w:firstLine="56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若环保</w:t>
      </w:r>
      <w:r>
        <w:t>设施</w:t>
      </w:r>
      <w:r>
        <w:rPr>
          <w:rFonts w:hint="eastAsia"/>
        </w:rPr>
        <w:t>发生故障时，发现故障人员立即上报当班班长，由当班班长组织当班人员排查异常原因，若厂内仪器设备因故不能运行，应急设施满负荷状态时通知相关生产迅速停止。为确保处理效率，在部门设备检修期间，末端处理系统也应同时进行检修，日常应有专人负责维护。一旦发生故障，采取紧急停车停产，由专人进行排险检修，尽可能减少污染物外排对环境的不利影响。</w:t>
      </w:r>
    </w:p>
    <w:p>
      <w:pPr>
        <w:pStyle w:val="139"/>
        <w:spacing w:after="48"/>
        <w:rPr>
          <w:rFonts w:hint="eastAsia" w:ascii="仿宋" w:hAnsi="仿宋" w:eastAsia="仿宋" w:cs="仿宋"/>
        </w:rPr>
      </w:pPr>
    </w:p>
    <w:p>
      <w:pPr>
        <w:pStyle w:val="139"/>
        <w:spacing w:after="48"/>
        <w:rPr>
          <w:rFonts w:hint="eastAsia" w:ascii="仿宋" w:hAnsi="仿宋" w:eastAsia="仿宋" w:cs="仿宋"/>
        </w:rPr>
      </w:pPr>
    </w:p>
    <w:p>
      <w:pPr>
        <w:pStyle w:val="139"/>
        <w:spacing w:after="48"/>
        <w:rPr>
          <w:rFonts w:hint="eastAsia" w:ascii="仿宋" w:hAnsi="仿宋" w:eastAsia="仿宋" w:cs="仿宋"/>
        </w:rPr>
      </w:pPr>
    </w:p>
    <w:p>
      <w:pPr>
        <w:pStyle w:val="139"/>
        <w:spacing w:after="48"/>
        <w:rPr>
          <w:rFonts w:hint="eastAsia" w:ascii="仿宋" w:hAnsi="仿宋" w:eastAsia="仿宋" w:cs="仿宋"/>
        </w:rPr>
      </w:pPr>
    </w:p>
    <w:p>
      <w:pPr>
        <w:pStyle w:val="139"/>
        <w:spacing w:after="48"/>
        <w:rPr>
          <w:rFonts w:hint="eastAsia" w:ascii="仿宋" w:hAnsi="仿宋" w:eastAsia="仿宋" w:cs="仿宋"/>
        </w:rPr>
      </w:pPr>
    </w:p>
    <w:p>
      <w:pPr>
        <w:pStyle w:val="132"/>
      </w:pPr>
      <w:bookmarkStart w:id="208" w:name="_Toc28369"/>
      <w:bookmarkStart w:id="209" w:name="_Toc463949115"/>
      <w:bookmarkStart w:id="210" w:name="_Toc7361"/>
      <w:bookmarkStart w:id="211" w:name="_Toc505945725"/>
      <w:r>
        <w:rPr>
          <w:rFonts w:hint="eastAsia"/>
        </w:rPr>
        <w:t>明确应急救援队伍的调度及物资保障供应程序</w:t>
      </w:r>
      <w:bookmarkEnd w:id="208"/>
      <w:bookmarkEnd w:id="209"/>
      <w:bookmarkEnd w:id="210"/>
      <w:bookmarkEnd w:id="211"/>
    </w:p>
    <w:p>
      <w:pPr>
        <w:pStyle w:val="124"/>
        <w:ind w:firstLine="560"/>
      </w:pPr>
      <w:r>
        <w:t>（1）明确应急救援的调集方式与负责人员；</w:t>
      </w:r>
    </w:p>
    <w:p>
      <w:pPr>
        <w:pStyle w:val="124"/>
        <w:ind w:firstLine="700" w:firstLineChars="250"/>
      </w:pPr>
      <w:r>
        <w:rPr>
          <w:rFonts w:hint="eastAsia"/>
        </w:rPr>
        <w:t>a、发生环境突发事件后，第一现场人迅速通知当班组长及应急指挥部总指挥，总指挥根据事件性质调动应急救援队伍，应急救援队伍服从于指挥部，指挥部成员服从于总指挥，各救援小组由各组组长领导。</w:t>
      </w:r>
    </w:p>
    <w:p>
      <w:pPr>
        <w:pStyle w:val="124"/>
        <w:ind w:firstLine="700" w:firstLineChars="250"/>
      </w:pPr>
      <w:r>
        <w:rPr>
          <w:rFonts w:hint="eastAsia"/>
        </w:rPr>
        <w:t>b、应急</w:t>
      </w:r>
      <w:r>
        <w:t>中心</w:t>
      </w:r>
      <w:r>
        <w:rPr>
          <w:rFonts w:hint="eastAsia"/>
        </w:rPr>
        <w:t>组到达现场以后，协助指挥部门及时联络救援部门，并根据指挥部下达的命令，迅速通知乌市环保局、安监局等相关部门。</w:t>
      </w:r>
    </w:p>
    <w:p>
      <w:pPr>
        <w:pStyle w:val="124"/>
        <w:ind w:firstLine="560"/>
        <w:rPr>
          <w:rFonts w:hint="eastAsia" w:ascii="仿宋" w:hAnsi="仿宋" w:eastAsia="仿宋" w:cs="仿宋"/>
          <w:lang w:val="en-US" w:eastAsia="zh-CN"/>
        </w:rPr>
      </w:pPr>
      <w:r>
        <w:rPr>
          <w:rFonts w:hint="eastAsia"/>
        </w:rPr>
        <w:t>c、应急抢险组到达现场后，根据指挥部下达的抢险指令，迅速进行抢修，控制</w:t>
      </w:r>
      <w:r>
        <w:rPr>
          <w:rFonts w:hint="eastAsia" w:ascii="仿宋" w:hAnsi="仿宋" w:eastAsia="仿宋" w:cs="仿宋"/>
          <w:lang w:val="en-US" w:eastAsia="zh-CN"/>
        </w:rPr>
        <w:t>事故，以及防止事故扩大。</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d、医疗救护组到达现场后，迅速组织救护伤员撤离，组织安保人员在事故现场周围设岗划分禁区，加强警戒和巡逻检查，严禁无关人员进入禁区。医疗救护组与消防车队配合，立即救护伤员和中毒人员，对中毒人员应根据中毒症状及时采取相应的应急措施，对伤员进行医疗处置，重伤员应及时转送医院抢救。</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e、消防队接到报警后，应迅速赶往事故现场，根据当时风向，消防车应停留上风方向，或停在禁区外，消防人员佩带好防护器具，进入禁区，查明有无中毒人员，以最快速度将中毒者脱离现场，协助事故发生部门迅速切断事故源和切除现场的易燃易爆物品。</w:t>
      </w:r>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（2）应急物资数量、位置，以及可获得的方式。应急物资数量、位置等详见应急资源调查报告。</w:t>
      </w:r>
    </w:p>
    <w:p>
      <w:pPr>
        <w:pStyle w:val="132"/>
      </w:pPr>
      <w:bookmarkStart w:id="212" w:name="_Toc12130"/>
      <w:r>
        <w:rPr>
          <w:rFonts w:hint="eastAsia"/>
        </w:rPr>
        <w:t>现场</w:t>
      </w:r>
      <w:r>
        <w:t>污染处置</w:t>
      </w:r>
      <w:bookmarkEnd w:id="212"/>
    </w:p>
    <w:p>
      <w:pPr>
        <w:pStyle w:val="124"/>
        <w:ind w:firstLine="560"/>
        <w:rPr>
          <w:rFonts w:hint="eastAsia"/>
          <w:lang w:val="en-US" w:eastAsia="zh-CN"/>
        </w:rPr>
      </w:pPr>
      <w:r>
        <w:rPr>
          <w:rFonts w:hint="eastAsia"/>
          <w:lang w:val="en-US" w:eastAsia="zh-CN"/>
        </w:rPr>
        <w:t xml:space="preserve">1、基本处置原则  </w:t>
      </w:r>
    </w:p>
    <w:p>
      <w:pPr>
        <w:pStyle w:val="124"/>
        <w:ind w:firstLine="560"/>
        <w:rPr>
          <w:rFonts w:hint="eastAsia"/>
          <w:lang w:val="en-US" w:eastAsia="zh-CN"/>
        </w:rPr>
      </w:pPr>
      <w:r>
        <w:rPr>
          <w:rFonts w:hint="eastAsia"/>
          <w:lang w:val="en-US" w:eastAsia="zh-CN"/>
        </w:rPr>
        <w:t>确认污染物危害及毒性：通过初步判断与监测分析，确认污染物及其危害与毒性，切断污染源，并对同类污染源进行限排、禁排。</w:t>
      </w:r>
    </w:p>
    <w:p>
      <w:pPr>
        <w:pStyle w:val="124"/>
        <w:ind w:firstLine="560"/>
        <w:rPr>
          <w:rFonts w:hint="eastAsia"/>
          <w:lang w:val="en-US" w:eastAsia="zh-CN"/>
        </w:rPr>
      </w:pPr>
      <w:r>
        <w:rPr>
          <w:rFonts w:hint="eastAsia"/>
          <w:lang w:val="en-US" w:eastAsia="zh-CN"/>
        </w:rPr>
        <w:t>2、基本处置措施</w:t>
      </w:r>
    </w:p>
    <w:p>
      <w:pPr>
        <w:pStyle w:val="124"/>
        <w:ind w:firstLine="560"/>
        <w:rPr>
          <w:rFonts w:hint="eastAsia"/>
          <w:lang w:val="en-US" w:eastAsia="zh-CN"/>
        </w:rPr>
      </w:pPr>
      <w:r>
        <w:rPr>
          <w:rFonts w:hint="eastAsia"/>
          <w:lang w:val="en-US" w:eastAsia="zh-CN"/>
        </w:rPr>
        <w:t>润滑油泄漏后，应隔绝一切火源，防止发生燃烧和爆炸；现场用沙土围堤，回收物料，避免流入下水道等密闭系统；不得用水冲洗地面，防止污染区域扩大；可通过控制泄漏源来消除润滑油的溢出或泄漏；现场泄漏物应及时进行覆盖、收容和稀释、使泄漏物得到安全可靠的处理，防止二次事故的发生。</w:t>
      </w:r>
    </w:p>
    <w:p>
      <w:pPr>
        <w:pStyle w:val="131"/>
        <w:rPr>
          <w:rFonts w:hint="eastAsia" w:ascii="Times New Roman" w:hAnsi="Times New Roman" w:eastAsia="仿宋" w:cs="黑体"/>
          <w:b w:val="0"/>
          <w:bCs/>
          <w:iCs/>
          <w:kern w:val="2"/>
          <w:sz w:val="28"/>
          <w:szCs w:val="28"/>
          <w:lang w:val="en-US" w:eastAsia="zh-CN" w:bidi="en-US"/>
        </w:rPr>
      </w:pPr>
      <w:bookmarkStart w:id="213" w:name="_Toc17723"/>
      <w:bookmarkStart w:id="214" w:name="_Toc505945726"/>
      <w:bookmarkStart w:id="215" w:name="_Toc463949117"/>
      <w:r>
        <w:rPr>
          <w:rFonts w:hint="eastAsia"/>
        </w:rPr>
        <w:t xml:space="preserve"> </w:t>
      </w:r>
      <w:bookmarkStart w:id="216" w:name="_Toc7189"/>
      <w:r>
        <w:rPr>
          <w:rFonts w:hint="eastAsia"/>
          <w:lang w:val="en-US" w:eastAsia="zh-CN"/>
        </w:rPr>
        <w:t>关键岗位应急处置卡</w:t>
      </w:r>
      <w:bookmarkEnd w:id="216"/>
    </w:p>
    <w:p>
      <w:pPr>
        <w:pStyle w:val="132"/>
        <w:bidi w:val="0"/>
        <w:rPr>
          <w:rFonts w:hint="eastAsia" w:ascii="Times New Roman" w:hAnsi="Times New Roman" w:eastAsia="仿宋" w:cs="黑体"/>
          <w:b w:val="0"/>
          <w:bCs/>
          <w:iCs/>
          <w:kern w:val="2"/>
          <w:sz w:val="28"/>
          <w:szCs w:val="28"/>
          <w:lang w:val="en-US" w:eastAsia="zh-CN" w:bidi="en-US"/>
        </w:rPr>
      </w:pPr>
      <w:bookmarkStart w:id="217" w:name="_Toc31293"/>
      <w:r>
        <w:rPr>
          <w:rFonts w:hint="eastAsia"/>
          <w:lang w:val="en-US" w:eastAsia="zh-CN"/>
        </w:rPr>
        <w:t>负责人应急处置卡</w:t>
      </w:r>
      <w:bookmarkEnd w:id="217"/>
    </w:p>
    <w:p>
      <w:pPr>
        <w:pStyle w:val="124"/>
        <w:ind w:firstLine="560"/>
        <w:rPr>
          <w:rFonts w:hint="eastAsia"/>
          <w:lang w:val="en-US" w:eastAsia="zh-CN"/>
        </w:rPr>
      </w:pPr>
      <w:bookmarkStart w:id="218" w:name="_Toc8921"/>
      <w:r>
        <w:rPr>
          <w:rFonts w:hint="eastAsia"/>
          <w:lang w:val="en-US" w:eastAsia="zh-CN"/>
        </w:rPr>
        <w:t>（1）接到现场报警后，如造成人员伤亡，在一小时将事故应根据情况上报所在地县级以上应急部门。</w:t>
      </w:r>
      <w:bookmarkEnd w:id="218"/>
    </w:p>
    <w:p>
      <w:pPr>
        <w:pStyle w:val="124"/>
        <w:ind w:firstLine="560"/>
        <w:rPr>
          <w:rFonts w:hint="eastAsia"/>
          <w:lang w:val="en-US" w:eastAsia="zh-CN"/>
        </w:rPr>
      </w:pPr>
      <w:r>
        <w:rPr>
          <w:rFonts w:hint="eastAsia"/>
          <w:lang w:val="en-US" w:eastAsia="zh-CN"/>
        </w:rPr>
        <w:t>（2）当需要启动应急预案后，第一时间下令启动预案，到达现场成立应急指挥部，担任总指挥，通过应急指挥部办公室通知应急指挥部各成员。</w:t>
      </w:r>
    </w:p>
    <w:p>
      <w:pPr>
        <w:pStyle w:val="124"/>
        <w:ind w:firstLine="560"/>
        <w:rPr>
          <w:rFonts w:hint="eastAsia"/>
          <w:lang w:val="en-US" w:eastAsia="zh-CN"/>
        </w:rPr>
      </w:pPr>
      <w:r>
        <w:rPr>
          <w:rFonts w:hint="eastAsia"/>
          <w:lang w:val="en-US" w:eastAsia="zh-CN"/>
        </w:rPr>
        <w:t>（3）根据事故情况，结合各应急指挥部成员意见，指挥应急救援工作。</w:t>
      </w:r>
    </w:p>
    <w:p>
      <w:pPr>
        <w:pStyle w:val="124"/>
        <w:ind w:firstLine="560"/>
        <w:rPr>
          <w:rFonts w:hint="eastAsia"/>
          <w:lang w:val="en-US" w:eastAsia="zh-CN"/>
        </w:rPr>
      </w:pPr>
      <w:r>
        <w:rPr>
          <w:rFonts w:hint="eastAsia"/>
          <w:lang w:val="en-US" w:eastAsia="zh-CN"/>
        </w:rPr>
        <w:t>（4）如判断公司无法独立完成救援工作，通过指挥部办公室向上级部门请求支援。</w:t>
      </w:r>
    </w:p>
    <w:p>
      <w:pPr>
        <w:pStyle w:val="124"/>
        <w:ind w:firstLine="560"/>
        <w:rPr>
          <w:rFonts w:hint="eastAsia"/>
          <w:lang w:val="en-US" w:eastAsia="zh-CN"/>
        </w:rPr>
      </w:pPr>
      <w:r>
        <w:rPr>
          <w:rFonts w:hint="eastAsia"/>
          <w:lang w:val="en-US" w:eastAsia="zh-CN"/>
        </w:rPr>
        <w:t>（5）在上级部门应急指挥部成立后，向其移交指挥权，介绍事故情况，做好后勤保障工作，配合开展救援。</w:t>
      </w:r>
    </w:p>
    <w:p>
      <w:pPr>
        <w:pStyle w:val="124"/>
        <w:ind w:firstLine="560"/>
        <w:rPr>
          <w:rFonts w:hint="eastAsia"/>
          <w:lang w:val="en-US" w:eastAsia="zh-CN"/>
        </w:rPr>
      </w:pPr>
      <w:r>
        <w:rPr>
          <w:rFonts w:hint="eastAsia"/>
          <w:lang w:val="en-US" w:eastAsia="zh-CN"/>
        </w:rPr>
        <w:t>（6）组织重伤以下事故调查处理，抚恤伤亡人员，总结应急工作经验，落实整改措施。</w:t>
      </w:r>
    </w:p>
    <w:p>
      <w:pPr>
        <w:pStyle w:val="132"/>
        <w:bidi w:val="0"/>
        <w:rPr>
          <w:rFonts w:hint="eastAsia"/>
          <w:lang w:val="en-US" w:eastAsia="zh-CN"/>
        </w:rPr>
      </w:pPr>
      <w:bookmarkStart w:id="219" w:name="_Toc9394"/>
      <w:r>
        <w:rPr>
          <w:rFonts w:hint="eastAsia"/>
          <w:lang w:val="en-US" w:eastAsia="zh-CN"/>
        </w:rPr>
        <w:t>抢险救援负责人应急处置卡</w:t>
      </w:r>
      <w:bookmarkEnd w:id="219"/>
    </w:p>
    <w:p>
      <w:pPr>
        <w:pStyle w:val="124"/>
        <w:ind w:firstLine="560"/>
        <w:rPr>
          <w:rFonts w:hint="eastAsia"/>
          <w:lang w:val="en-US" w:eastAsia="zh-CN"/>
        </w:rPr>
      </w:pPr>
      <w:r>
        <w:rPr>
          <w:rFonts w:hint="eastAsia"/>
          <w:lang w:val="en-US" w:eastAsia="zh-CN"/>
        </w:rPr>
        <w:t>（1）接到指挥部办公室通知后，第一时间到达现场参加指挥部，接受总指挥指挥。</w:t>
      </w:r>
    </w:p>
    <w:p>
      <w:pPr>
        <w:pStyle w:val="124"/>
        <w:ind w:firstLine="560"/>
        <w:rPr>
          <w:rFonts w:hint="eastAsia"/>
          <w:lang w:val="en-US" w:eastAsia="zh-CN"/>
        </w:rPr>
      </w:pPr>
      <w:r>
        <w:rPr>
          <w:rFonts w:hint="eastAsia"/>
          <w:lang w:val="en-US" w:eastAsia="zh-CN"/>
        </w:rPr>
        <w:t>（2）电话通知抢险救灾组成员和应急队伍队员到达现场或做好应急准备。</w:t>
      </w:r>
    </w:p>
    <w:p>
      <w:pPr>
        <w:pStyle w:val="124"/>
        <w:ind w:firstLine="560"/>
        <w:rPr>
          <w:rFonts w:hint="eastAsia"/>
          <w:lang w:val="en-US" w:eastAsia="zh-CN"/>
        </w:rPr>
      </w:pPr>
      <w:r>
        <w:rPr>
          <w:rFonts w:hint="eastAsia"/>
          <w:lang w:val="en-US" w:eastAsia="zh-CN"/>
        </w:rPr>
        <w:t>（3）协助总指挥制定事故抢险方案。</w:t>
      </w:r>
    </w:p>
    <w:p>
      <w:pPr>
        <w:pStyle w:val="124"/>
        <w:ind w:firstLine="560"/>
        <w:rPr>
          <w:rFonts w:hint="eastAsia"/>
          <w:lang w:val="en-US" w:eastAsia="zh-CN"/>
        </w:rPr>
      </w:pPr>
      <w:r>
        <w:rPr>
          <w:rFonts w:hint="eastAsia"/>
          <w:lang w:val="en-US" w:eastAsia="zh-CN"/>
        </w:rPr>
        <w:t>（4）在总指挥的指挥下，组织抢险救灾组成员和应急队伍按照应急预案开展事故抢险救援工作。</w:t>
      </w:r>
    </w:p>
    <w:p>
      <w:pPr>
        <w:pStyle w:val="124"/>
        <w:ind w:firstLine="560"/>
        <w:rPr>
          <w:rFonts w:hint="eastAsia"/>
          <w:lang w:val="en-US" w:eastAsia="zh-CN"/>
        </w:rPr>
      </w:pPr>
      <w:r>
        <w:rPr>
          <w:rFonts w:hint="eastAsia"/>
          <w:lang w:val="en-US" w:eastAsia="zh-CN"/>
        </w:rPr>
        <w:t>（5）当判断公司层面无法进行救援时，向总指挥提议请求外界支援，并组织人员采取防止事故扩大的冷却、隔离、转移重要物资等先期处置工作。</w:t>
      </w:r>
    </w:p>
    <w:p>
      <w:pPr>
        <w:pStyle w:val="124"/>
        <w:ind w:firstLine="560"/>
        <w:rPr>
          <w:rFonts w:hint="eastAsia"/>
          <w:lang w:val="en-US" w:eastAsia="zh-CN"/>
        </w:rPr>
      </w:pPr>
      <w:r>
        <w:rPr>
          <w:rFonts w:hint="eastAsia"/>
          <w:lang w:val="en-US" w:eastAsia="zh-CN"/>
        </w:rPr>
        <w:t>（6）当外界支援力量到达后，组织人员协助其开展事故教援，并做好后勤保障工作。</w:t>
      </w:r>
    </w:p>
    <w:p>
      <w:pPr>
        <w:pStyle w:val="124"/>
        <w:ind w:firstLine="560"/>
        <w:rPr>
          <w:rFonts w:hint="eastAsia"/>
          <w:lang w:val="en-US" w:eastAsia="zh-CN"/>
        </w:rPr>
      </w:pPr>
      <w:r>
        <w:rPr>
          <w:rFonts w:hint="eastAsia"/>
          <w:lang w:val="en-US" w:eastAsia="zh-CN"/>
        </w:rPr>
        <w:t>（7）事故救援工作结束后，配合开展善后处理和事故调查工作。</w:t>
      </w:r>
    </w:p>
    <w:p>
      <w:pPr>
        <w:pStyle w:val="131"/>
      </w:pPr>
      <w:bookmarkStart w:id="220" w:name="_Toc375"/>
      <w:r>
        <w:rPr>
          <w:rFonts w:hint="eastAsia"/>
        </w:rPr>
        <w:t>转移</w:t>
      </w:r>
      <w:r>
        <w:t>安置人员</w:t>
      </w:r>
      <w:bookmarkEnd w:id="213"/>
      <w:bookmarkEnd w:id="214"/>
      <w:bookmarkEnd w:id="220"/>
    </w:p>
    <w:p>
      <w:pPr>
        <w:pStyle w:val="124"/>
        <w:ind w:firstLine="560"/>
      </w:pPr>
      <w:r>
        <w:rPr>
          <w:rFonts w:hint="eastAsia"/>
        </w:rPr>
        <w:t>发生泄漏</w:t>
      </w:r>
      <w:r>
        <w:t>事故时</w:t>
      </w:r>
      <w:r>
        <w:rPr>
          <w:rFonts w:hint="eastAsia"/>
        </w:rPr>
        <w:t>，为保证人员安全，项目值班人员巡视现场情况，如出现危险情况，值班人员立即通知应急</w:t>
      </w:r>
      <w:r>
        <w:t>指挥组组长</w:t>
      </w:r>
      <w:r>
        <w:rPr>
          <w:rFonts w:hint="eastAsia"/>
        </w:rPr>
        <w:t>，做好人员转移工作。事故可能危及区域有关人员的紧急疏散、撤离。因新疆福克油品股份有限公司在生产期间，项目厂区人员约68人左右，如出现突发情况，应急</w:t>
      </w:r>
      <w:r>
        <w:t>指挥组组长</w:t>
      </w:r>
      <w:r>
        <w:rPr>
          <w:rFonts w:hint="eastAsia"/>
        </w:rPr>
        <w:t>应及时将人员转移至安全地方，所有人员躲避至</w:t>
      </w:r>
      <w:r>
        <w:t>厂区上风向</w:t>
      </w:r>
      <w:r>
        <w:rPr>
          <w:rFonts w:hint="eastAsia"/>
        </w:rPr>
        <w:t>；项目安全员负责落实人员教育，稳定职工情绪。</w:t>
      </w:r>
    </w:p>
    <w:p>
      <w:pPr>
        <w:pStyle w:val="131"/>
      </w:pPr>
      <w:bookmarkStart w:id="221" w:name="_Toc30490"/>
      <w:bookmarkStart w:id="222" w:name="_Toc505945727"/>
      <w:bookmarkStart w:id="223" w:name="_Toc5607"/>
      <w:r>
        <w:rPr>
          <w:rFonts w:hint="eastAsia"/>
        </w:rPr>
        <w:t>信息发布</w:t>
      </w:r>
      <w:r>
        <w:t>和舆论引导</w:t>
      </w:r>
      <w:bookmarkEnd w:id="221"/>
      <w:bookmarkEnd w:id="222"/>
      <w:bookmarkEnd w:id="223"/>
    </w:p>
    <w:p>
      <w:pPr>
        <w:pStyle w:val="124"/>
        <w:ind w:firstLine="560"/>
      </w:pPr>
      <w:r>
        <w:rPr>
          <w:rFonts w:hint="eastAsia"/>
        </w:rPr>
        <w:t>为了规范突发</w:t>
      </w:r>
      <w:r>
        <w:t>事件情况</w:t>
      </w:r>
      <w:r>
        <w:rPr>
          <w:rFonts w:hint="eastAsia"/>
        </w:rPr>
        <w:t>向社会提供及时、准确、客观、全面的预警信息，最大限度预防和减少突发事件发生及其造成的危害，保障公众生命财产安全，维护公共安全和社会稳定。发生</w:t>
      </w:r>
      <w:r>
        <w:t>污染事件时，</w:t>
      </w:r>
      <w:r>
        <w:rPr>
          <w:rFonts w:hint="eastAsia"/>
        </w:rPr>
        <w:t>乌市环保局和园区主管部门</w:t>
      </w:r>
      <w:r>
        <w:t>要充分利用广播、电视</w:t>
      </w:r>
      <w:r>
        <w:rPr>
          <w:rFonts w:hint="eastAsia"/>
        </w:rPr>
        <w:t>、</w:t>
      </w:r>
      <w:r>
        <w:t>互联网等</w:t>
      </w:r>
      <w:r>
        <w:rPr>
          <w:rFonts w:hint="eastAsia"/>
        </w:rPr>
        <w:t>信息</w:t>
      </w:r>
      <w:r>
        <w:t>传播平台</w:t>
      </w:r>
      <w:r>
        <w:rPr>
          <w:rFonts w:hint="eastAsia"/>
        </w:rPr>
        <w:t>，</w:t>
      </w:r>
      <w:r>
        <w:t>快速、及时、准确地将预警信息传播给可能</w:t>
      </w:r>
      <w:r>
        <w:rPr>
          <w:rFonts w:hint="eastAsia"/>
        </w:rPr>
        <w:t>危及</w:t>
      </w:r>
      <w:r>
        <w:t>的区域人员</w:t>
      </w:r>
      <w:r>
        <w:rPr>
          <w:rFonts w:hint="eastAsia"/>
        </w:rPr>
        <w:t>，</w:t>
      </w:r>
      <w:r>
        <w:t>通知并</w:t>
      </w:r>
      <w:r>
        <w:rPr>
          <w:rFonts w:hint="eastAsia"/>
        </w:rPr>
        <w:t>要求</w:t>
      </w:r>
      <w:r>
        <w:t>撤离到安全的</w:t>
      </w:r>
      <w:r>
        <w:rPr>
          <w:rFonts w:hint="eastAsia"/>
        </w:rPr>
        <w:t>位置</w:t>
      </w:r>
      <w:r>
        <w:t>。</w:t>
      </w:r>
      <w:r>
        <w:rPr>
          <w:rFonts w:hint="eastAsia"/>
        </w:rPr>
        <w:t>并</w:t>
      </w:r>
      <w:r>
        <w:t>采取足以周知的有效传播方式将预警信息传播至老、幼、病、残、孕等特殊人群以及医院、学校等特殊</w:t>
      </w:r>
      <w:r>
        <w:rPr>
          <w:rFonts w:hint="eastAsia"/>
        </w:rPr>
        <w:t>场</w:t>
      </w:r>
      <w:r>
        <w:t>所和警报盲区。</w:t>
      </w:r>
    </w:p>
    <w:p>
      <w:pPr>
        <w:pStyle w:val="124"/>
        <w:ind w:firstLine="560"/>
      </w:pPr>
      <w:r>
        <w:rPr>
          <w:rFonts w:hint="eastAsia"/>
        </w:rPr>
        <w:t>各部门</w:t>
      </w:r>
      <w:r>
        <w:t>应</w:t>
      </w:r>
      <w:r>
        <w:rPr>
          <w:rFonts w:hint="eastAsia"/>
        </w:rPr>
        <w:t>当组织</w:t>
      </w:r>
      <w:r>
        <w:t>宣传教育工作，普及发生突发事件情况的应急知识，增强社会公众的安全意识，提高公众自救、</w:t>
      </w:r>
      <w:r>
        <w:rPr>
          <w:rFonts w:hint="eastAsia"/>
        </w:rPr>
        <w:t>呼救</w:t>
      </w:r>
      <w:r>
        <w:t>的能力。</w:t>
      </w:r>
    </w:p>
    <w:bookmarkEnd w:id="215"/>
    <w:p>
      <w:pPr>
        <w:pStyle w:val="131"/>
      </w:pPr>
      <w:bookmarkStart w:id="224" w:name="_Toc463949118"/>
      <w:bookmarkStart w:id="225" w:name="_Toc505945728"/>
      <w:bookmarkStart w:id="226" w:name="_Toc24770"/>
      <w:bookmarkStart w:id="227" w:name="_Toc23245"/>
      <w:r>
        <w:t>配合有关部门应急响应</w:t>
      </w:r>
      <w:bookmarkEnd w:id="224"/>
      <w:bookmarkEnd w:id="225"/>
      <w:bookmarkEnd w:id="226"/>
      <w:bookmarkEnd w:id="227"/>
    </w:p>
    <w:p>
      <w:pPr>
        <w:pStyle w:val="124"/>
        <w:ind w:firstLine="560"/>
      </w:pPr>
      <w:r>
        <w:rPr>
          <w:rFonts w:hint="eastAsia"/>
        </w:rPr>
        <w:t>发生突发性环境污染事故后，当乌市环保局及有关部门介入</w:t>
      </w:r>
      <w:r>
        <w:t>突发环境事件应急处置过程时，</w:t>
      </w:r>
      <w:r>
        <w:rPr>
          <w:rFonts w:hint="eastAsia"/>
        </w:rPr>
        <w:t>企业应积极配合，向其提供有关事件的真实信息，并由指挥部领导救援队伍及全厂职工配合其应急处置工作，向乌市环保局及有关部门提供专业技术支持，积极应对突发事件。厂内必须合理设置足够的应急装备及救援物资，并要求厂内所有人员熟悉应急装备和救援物资的存放位置及使用方法，应急设备及救援物资均放至</w:t>
      </w:r>
      <w:r>
        <w:t>配件库</w:t>
      </w:r>
      <w:r>
        <w:rPr>
          <w:rFonts w:hint="eastAsia"/>
        </w:rPr>
        <w:t>由专人</w:t>
      </w:r>
      <w:r>
        <w:t>看管</w:t>
      </w:r>
      <w:r>
        <w:rPr>
          <w:rFonts w:hint="eastAsia"/>
        </w:rPr>
        <w:t>，对应急设备应定期检查维护，发现问题时及时修理至可正常使用。在乌市及有关部门介入应急处置时，厂内救援队伍能及时准确的向其提供充足的应急装备及救援物资，确保应急处置梳理进行。</w:t>
      </w:r>
    </w:p>
    <w:p>
      <w:pPr>
        <w:pStyle w:val="43"/>
        <w:ind w:firstLine="883"/>
      </w:pPr>
      <w:bookmarkStart w:id="228" w:name="_Toc7688"/>
      <w:bookmarkStart w:id="229" w:name="_Toc15675"/>
      <w:bookmarkStart w:id="230" w:name="_Toc25198"/>
      <w:bookmarkStart w:id="231" w:name="_Toc15914"/>
      <w:bookmarkStart w:id="232" w:name="_Toc505945729"/>
      <w:bookmarkStart w:id="233" w:name="_Toc463949119"/>
      <w:r>
        <w:rPr>
          <w:rFonts w:hint="eastAsia"/>
        </w:rPr>
        <w:t>应急</w:t>
      </w:r>
      <w:r>
        <w:t>监测</w:t>
      </w:r>
      <w:bookmarkEnd w:id="228"/>
      <w:bookmarkEnd w:id="229"/>
      <w:bookmarkEnd w:id="230"/>
      <w:bookmarkEnd w:id="231"/>
      <w:bookmarkEnd w:id="232"/>
    </w:p>
    <w:p>
      <w:pPr>
        <w:pStyle w:val="124"/>
        <w:ind w:firstLine="560"/>
      </w:pPr>
      <w:r>
        <w:rPr>
          <w:rFonts w:hint="eastAsia"/>
        </w:rPr>
        <w:t>本公司应急小组内设有应急监测组负责协助专业人员对厂区事故现场应急监测，由于本厂无监测能力，故委托第三方</w:t>
      </w:r>
      <w:r>
        <w:t>监测机构</w:t>
      </w:r>
      <w:r>
        <w:rPr>
          <w:rFonts w:hint="eastAsia"/>
        </w:rPr>
        <w:t xml:space="preserve">。对事故性质、参数与后果进行评估，为指挥部门提供决策依据。 </w:t>
      </w:r>
    </w:p>
    <w:p>
      <w:pPr>
        <w:pStyle w:val="124"/>
        <w:ind w:firstLine="560"/>
        <w:rPr>
          <w:rFonts w:hint="eastAsia"/>
        </w:rPr>
      </w:pPr>
      <w:r>
        <w:rPr>
          <w:rFonts w:hint="eastAsia"/>
        </w:rPr>
        <w:t>本公司若发生事故以后，立即报告相关主管部门，委托相关部门进行监测，现场监测人员、采样人员到达现场，配戴个人防护用品后，查明泄漏后产生的气体浓度和扩散情况。根据当时风向、风速、判断扩散的方向、速度，并对挥发气体下风向扩散区域进行监测，监测情况及时向厂内领导小组报告。根据监测结果，综合分析突发性环境事件污染变化趋势，并通过专家咨询和讨论的方式，预测并报告突发性环境事件的发展情况和污染物的变化情况，作为突发性环境事件应急决策的依据。必要时根据领导小组决定通知气体扩散区域内的员工撤离或指导采取简易有效的保护措施。针对可能产生的污染事故，逐步制定或完善各项《环境监测应急预案》，对环境事件做出响应。针对本厂的具体特点，制定各类事故应急环境监测预案，包括污染源监测、厂界环境质量监测和厂外环境质量监测三类，满足事故应急监测的需求。</w:t>
      </w:r>
    </w:p>
    <w:p>
      <w:pPr>
        <w:pStyle w:val="11"/>
        <w:keepNext w:val="0"/>
        <w:keepLines w:val="0"/>
        <w:pageBreakBefore w:val="0"/>
        <w:widowControl w:val="0"/>
        <w:kinsoku/>
        <w:wordWrap/>
        <w:overflowPunct/>
        <w:topLinePunct w:val="0"/>
        <w:autoSpaceDE/>
        <w:autoSpaceDN/>
        <w:bidi w:val="0"/>
        <w:adjustRightInd/>
        <w:snapToGrid/>
        <w:spacing w:line="300" w:lineRule="auto"/>
        <w:ind w:firstLine="482"/>
        <w:textAlignment w:val="auto"/>
        <w:rPr>
          <w:rFonts w:hint="eastAsia" w:ascii="Times New Roman" w:hAnsi="Times New Roman" w:eastAsia="仿宋" w:cs="黑体"/>
          <w:bCs/>
          <w:iCs/>
          <w:kern w:val="2"/>
          <w:sz w:val="28"/>
          <w:szCs w:val="28"/>
          <w:lang w:val="en-US" w:eastAsia="zh-CN" w:bidi="en-US"/>
        </w:rPr>
      </w:pPr>
      <w:r>
        <w:rPr>
          <w:rFonts w:hint="eastAsia" w:ascii="Times New Roman" w:hAnsi="Times New Roman" w:eastAsia="仿宋" w:cs="黑体"/>
          <w:bCs/>
          <w:iCs/>
          <w:kern w:val="2"/>
          <w:sz w:val="28"/>
          <w:szCs w:val="28"/>
          <w:lang w:val="en-US" w:eastAsia="zh-CN" w:bidi="en-US"/>
        </w:rPr>
        <w:t>应急监测参照《突发环境事件应急监测技术规范》（HJ589-2010）执行，由于设立环境监测部门需要较大的投资和运行费用，鉴于生产实际情况，环境监测工作量不多，因此未设立监测站。发生突发环境事件时，应急监测组及时联系长期合作的第三方具有资质的监测公司，监测单位在应急监测组的协助下对污染区开展跟踪监测，监测单位根据实际情况制定应急监测方案，及时开展针对周边环境的应急监测，尽可能在短时间内，用简易的仪器对事件中有关污染因子浓度及扩散范围进行监测，确定可能影响的范围及污染程度，以便对事件能及时、准确的处置。</w:t>
      </w:r>
    </w:p>
    <w:p>
      <w:pPr>
        <w:pStyle w:val="11"/>
        <w:keepNext w:val="0"/>
        <w:keepLines w:val="0"/>
        <w:pageBreakBefore w:val="0"/>
        <w:widowControl w:val="0"/>
        <w:kinsoku/>
        <w:wordWrap/>
        <w:overflowPunct/>
        <w:topLinePunct w:val="0"/>
        <w:autoSpaceDE/>
        <w:autoSpaceDN/>
        <w:bidi w:val="0"/>
        <w:adjustRightInd/>
        <w:snapToGrid/>
        <w:spacing w:line="300" w:lineRule="auto"/>
        <w:ind w:firstLine="482"/>
        <w:textAlignment w:val="auto"/>
        <w:rPr>
          <w:rFonts w:hint="eastAsia" w:ascii="Times New Roman" w:hAnsi="Times New Roman" w:eastAsia="仿宋" w:cs="黑体"/>
          <w:bCs/>
          <w:iCs/>
          <w:kern w:val="2"/>
          <w:sz w:val="28"/>
          <w:szCs w:val="28"/>
          <w:lang w:val="en-US" w:eastAsia="zh-CN" w:bidi="en-US"/>
        </w:rPr>
      </w:pPr>
      <w:r>
        <w:rPr>
          <w:rFonts w:hint="eastAsia" w:ascii="Times New Roman" w:hAnsi="Times New Roman" w:eastAsia="仿宋" w:cs="黑体"/>
          <w:bCs/>
          <w:iCs/>
          <w:kern w:val="2"/>
          <w:sz w:val="28"/>
          <w:szCs w:val="28"/>
          <w:lang w:val="en-US" w:eastAsia="zh-CN" w:bidi="en-US"/>
        </w:rPr>
        <w:t>1、布点原则</w:t>
      </w:r>
    </w:p>
    <w:p>
      <w:pPr>
        <w:pStyle w:val="11"/>
        <w:keepNext w:val="0"/>
        <w:keepLines w:val="0"/>
        <w:pageBreakBefore w:val="0"/>
        <w:widowControl w:val="0"/>
        <w:kinsoku/>
        <w:wordWrap/>
        <w:overflowPunct/>
        <w:topLinePunct w:val="0"/>
        <w:autoSpaceDE/>
        <w:autoSpaceDN/>
        <w:bidi w:val="0"/>
        <w:adjustRightInd/>
        <w:snapToGrid/>
        <w:spacing w:line="300" w:lineRule="auto"/>
        <w:ind w:firstLine="482"/>
        <w:textAlignment w:val="auto"/>
        <w:rPr>
          <w:rFonts w:hint="eastAsia" w:ascii="Times New Roman" w:hAnsi="Times New Roman" w:eastAsia="仿宋" w:cs="黑体"/>
          <w:bCs/>
          <w:iCs/>
          <w:kern w:val="2"/>
          <w:sz w:val="28"/>
          <w:szCs w:val="28"/>
          <w:lang w:val="en-US" w:eastAsia="zh-CN" w:bidi="en-US"/>
        </w:rPr>
      </w:pPr>
      <w:r>
        <w:rPr>
          <w:rFonts w:hint="eastAsia" w:ascii="Times New Roman" w:hAnsi="Times New Roman" w:eastAsia="仿宋" w:cs="黑体"/>
          <w:bCs/>
          <w:iCs/>
          <w:kern w:val="2"/>
          <w:sz w:val="28"/>
          <w:szCs w:val="28"/>
          <w:lang w:val="en-US" w:eastAsia="zh-CN" w:bidi="en-US"/>
        </w:rPr>
        <w:t>（1）采样段面（点）的设置一般以突发环境事件发生地点及其附近为主，同时必须注重人群和生活环境，考虑饮用水源地、居民住宅区空气、农田土壤等区域的影响，合理设置参照点，以掌握污染发生地点状况、反映事故发生区域环境的污染程度和污染范围为目的；</w:t>
      </w:r>
    </w:p>
    <w:p>
      <w:pPr>
        <w:pStyle w:val="11"/>
        <w:keepNext w:val="0"/>
        <w:keepLines w:val="0"/>
        <w:pageBreakBefore w:val="0"/>
        <w:widowControl w:val="0"/>
        <w:kinsoku/>
        <w:wordWrap/>
        <w:overflowPunct/>
        <w:topLinePunct w:val="0"/>
        <w:autoSpaceDE/>
        <w:autoSpaceDN/>
        <w:bidi w:val="0"/>
        <w:adjustRightInd/>
        <w:snapToGrid/>
        <w:spacing w:line="300" w:lineRule="auto"/>
        <w:ind w:firstLine="482"/>
        <w:textAlignment w:val="auto"/>
        <w:rPr>
          <w:rFonts w:hint="eastAsia" w:ascii="Times New Roman" w:hAnsi="Times New Roman" w:eastAsia="仿宋" w:cs="黑体"/>
          <w:bCs/>
          <w:iCs/>
          <w:kern w:val="2"/>
          <w:sz w:val="28"/>
          <w:szCs w:val="28"/>
          <w:lang w:val="en-US" w:eastAsia="zh-CN" w:bidi="en-US"/>
        </w:rPr>
      </w:pPr>
      <w:r>
        <w:rPr>
          <w:rFonts w:hint="eastAsia" w:ascii="Times New Roman" w:hAnsi="Times New Roman" w:eastAsia="仿宋" w:cs="黑体"/>
          <w:bCs/>
          <w:iCs/>
          <w:kern w:val="2"/>
          <w:sz w:val="28"/>
          <w:szCs w:val="28"/>
          <w:lang w:val="en-US" w:eastAsia="zh-CN" w:bidi="en-US"/>
        </w:rPr>
        <w:t>（2）对被突发环境事件所污染的地下水、大气均应设置对照点、控制点，对地下水还应设置削减断面，尽可能以最少的点获取足够的有代表性的所需信息，同时需考虑采样的可行性和方便性。</w:t>
      </w:r>
    </w:p>
    <w:p>
      <w:pPr>
        <w:pStyle w:val="11"/>
        <w:keepNext w:val="0"/>
        <w:keepLines w:val="0"/>
        <w:pageBreakBefore w:val="0"/>
        <w:widowControl w:val="0"/>
        <w:kinsoku/>
        <w:wordWrap/>
        <w:overflowPunct/>
        <w:topLinePunct w:val="0"/>
        <w:autoSpaceDE/>
        <w:autoSpaceDN/>
        <w:bidi w:val="0"/>
        <w:adjustRightInd/>
        <w:snapToGrid/>
        <w:spacing w:line="300" w:lineRule="auto"/>
        <w:ind w:firstLine="482"/>
        <w:textAlignment w:val="auto"/>
        <w:rPr>
          <w:rFonts w:hint="eastAsia" w:ascii="Times New Roman" w:hAnsi="Times New Roman" w:eastAsia="仿宋" w:cs="黑体"/>
          <w:bCs/>
          <w:iCs/>
          <w:kern w:val="2"/>
          <w:sz w:val="28"/>
          <w:szCs w:val="28"/>
          <w:lang w:val="en-US" w:eastAsia="zh-CN" w:bidi="en-US"/>
        </w:rPr>
      </w:pPr>
      <w:r>
        <w:rPr>
          <w:rFonts w:hint="eastAsia" w:ascii="Times New Roman" w:hAnsi="Times New Roman" w:eastAsia="仿宋" w:cs="黑体"/>
          <w:bCs/>
          <w:iCs/>
          <w:kern w:val="2"/>
          <w:sz w:val="28"/>
          <w:szCs w:val="28"/>
          <w:lang w:val="en-US" w:eastAsia="zh-CN" w:bidi="en-US"/>
        </w:rPr>
        <w:t>2、点位布设</w:t>
      </w:r>
    </w:p>
    <w:p>
      <w:pPr>
        <w:pStyle w:val="11"/>
        <w:keepNext w:val="0"/>
        <w:keepLines w:val="0"/>
        <w:pageBreakBefore w:val="0"/>
        <w:widowControl w:val="0"/>
        <w:kinsoku/>
        <w:wordWrap/>
        <w:overflowPunct/>
        <w:topLinePunct w:val="0"/>
        <w:autoSpaceDE/>
        <w:autoSpaceDN/>
        <w:bidi w:val="0"/>
        <w:adjustRightInd/>
        <w:snapToGrid/>
        <w:spacing w:line="300" w:lineRule="auto"/>
        <w:ind w:firstLine="482"/>
        <w:textAlignment w:val="auto"/>
        <w:rPr>
          <w:rFonts w:hint="eastAsia" w:ascii="Times New Roman" w:hAnsi="Times New Roman" w:eastAsia="仿宋" w:cs="黑体"/>
          <w:bCs/>
          <w:iCs/>
          <w:kern w:val="2"/>
          <w:sz w:val="28"/>
          <w:szCs w:val="28"/>
          <w:lang w:val="en-US" w:eastAsia="zh-CN" w:bidi="en-US"/>
        </w:rPr>
      </w:pPr>
      <w:r>
        <w:rPr>
          <w:rFonts w:hint="eastAsia" w:ascii="Times New Roman" w:hAnsi="Times New Roman" w:eastAsia="仿宋" w:cs="黑体"/>
          <w:bCs/>
          <w:iCs/>
          <w:kern w:val="2"/>
          <w:sz w:val="28"/>
          <w:szCs w:val="28"/>
          <w:lang w:val="en-US" w:eastAsia="zh-CN" w:bidi="en-US"/>
        </w:rPr>
        <w:t>当发生环境空气污染事件时，公司应对厂内主要污染物质进行监测，了解主要的污染物类型与浓度，为事件的评估与应急措施提供依据。同时在具备能力与条件的情况下，对周围的大气敏感点进行监测，了解事件是否对周围敏感点造成危害，对敏感点的风险进行预评估，为与生态环境局进行交接时提供参考。</w:t>
      </w:r>
    </w:p>
    <w:p>
      <w:pPr>
        <w:pStyle w:val="11"/>
        <w:keepNext w:val="0"/>
        <w:keepLines w:val="0"/>
        <w:pageBreakBefore w:val="0"/>
        <w:widowControl w:val="0"/>
        <w:kinsoku/>
        <w:wordWrap/>
        <w:overflowPunct/>
        <w:topLinePunct w:val="0"/>
        <w:autoSpaceDE/>
        <w:autoSpaceDN/>
        <w:bidi w:val="0"/>
        <w:adjustRightInd/>
        <w:snapToGrid/>
        <w:spacing w:line="300" w:lineRule="auto"/>
        <w:ind w:firstLine="482"/>
        <w:textAlignment w:val="auto"/>
        <w:rPr>
          <w:rFonts w:hint="eastAsia" w:ascii="Times New Roman" w:hAnsi="Times New Roman" w:eastAsia="仿宋" w:cs="黑体"/>
          <w:bCs/>
          <w:iCs/>
          <w:kern w:val="2"/>
          <w:sz w:val="28"/>
          <w:szCs w:val="28"/>
          <w:lang w:val="en-US" w:eastAsia="zh-CN" w:bidi="en-US"/>
        </w:rPr>
      </w:pPr>
      <w:r>
        <w:rPr>
          <w:rFonts w:hint="eastAsia" w:ascii="Times New Roman" w:hAnsi="Times New Roman" w:eastAsia="仿宋" w:cs="黑体"/>
          <w:bCs/>
          <w:iCs/>
          <w:kern w:val="2"/>
          <w:sz w:val="28"/>
          <w:szCs w:val="28"/>
          <w:lang w:val="en-US" w:eastAsia="zh-CN" w:bidi="en-US"/>
        </w:rPr>
        <w:t>应尽可能在事故发生地就近采样，并以事故地点为中心，根据事故发生地的地理特点、当时盛行风向以及其他自然条件，在事故发生地下风向（污染物漂移云团经过的路径）影响区域、掩体或低洼等位置，按一定间隔的圆形布点采样，并根据污染物的特点在不同高度采样，同时在事故点的上风向适当位置布设对照点。在距事故发生地最近的工厂、职工生活区或其他敏感区域应布点采样。</w:t>
      </w:r>
    </w:p>
    <w:p>
      <w:pPr>
        <w:pStyle w:val="131"/>
        <w:bidi w:val="0"/>
        <w:rPr>
          <w:rFonts w:hint="eastAsia"/>
        </w:rPr>
      </w:pPr>
      <w:bookmarkStart w:id="234" w:name="_Toc5085"/>
      <w:r>
        <w:rPr>
          <w:rFonts w:hint="eastAsia"/>
          <w:lang w:eastAsia="zh-CN"/>
        </w:rPr>
        <w:t>应急监测内容</w:t>
      </w:r>
      <w:bookmarkEnd w:id="234"/>
    </w:p>
    <w:p>
      <w:pPr>
        <w:pStyle w:val="124"/>
        <w:ind w:firstLine="560"/>
      </w:pPr>
      <w:r>
        <w:rPr>
          <w:rFonts w:hint="eastAsia"/>
        </w:rPr>
        <w:t>（1）</w:t>
      </w:r>
      <w:r>
        <w:t>大气监测</w:t>
      </w:r>
    </w:p>
    <w:p>
      <w:pPr>
        <w:pStyle w:val="124"/>
        <w:ind w:firstLine="700" w:firstLineChars="25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rPr>
          <w:rFonts w:hint="eastAsia"/>
        </w:rPr>
        <w:t>监测项目</w:t>
      </w:r>
      <w:r>
        <w:t>及分析方法</w:t>
      </w:r>
    </w:p>
    <w:p>
      <w:pPr>
        <w:pStyle w:val="124"/>
        <w:ind w:firstLine="560"/>
        <w:rPr>
          <w:rFonts w:hint="eastAsia" w:eastAsia="仿宋"/>
          <w:lang w:eastAsia="zh-CN"/>
        </w:rPr>
      </w:pPr>
      <w:r>
        <w:rPr>
          <w:rFonts w:hint="eastAsia"/>
        </w:rPr>
        <w:t>根据事故范围选择适当的监测因子，若发生泄漏，则选择</w:t>
      </w:r>
      <w:r>
        <w:rPr>
          <w:rFonts w:hint="eastAsia"/>
          <w:lang w:eastAsia="zh-CN"/>
        </w:rPr>
        <w:t>苯、</w:t>
      </w:r>
      <w:r>
        <w:rPr>
          <w:rFonts w:hint="eastAsia"/>
        </w:rPr>
        <w:t>甲苯</w:t>
      </w:r>
      <w:r>
        <w:rPr>
          <w:rFonts w:hint="eastAsia"/>
          <w:lang w:eastAsia="zh-CN"/>
        </w:rPr>
        <w:t>、</w:t>
      </w:r>
      <w:r>
        <w:rPr>
          <w:rFonts w:hint="eastAsia"/>
        </w:rPr>
        <w:t>二甲苯</w:t>
      </w:r>
      <w:r>
        <w:rPr>
          <w:rFonts w:hint="eastAsia"/>
          <w:lang w:eastAsia="zh-CN"/>
        </w:rPr>
        <w:t>、非甲烷总烃</w:t>
      </w:r>
      <w:r>
        <w:rPr>
          <w:rFonts w:hint="eastAsia"/>
        </w:rPr>
        <w:t>作为监测因子。若发生</w:t>
      </w:r>
      <w:r>
        <w:t>火灾事故</w:t>
      </w:r>
      <w:r>
        <w:rPr>
          <w:rFonts w:hint="eastAsia"/>
        </w:rPr>
        <w:t>，</w:t>
      </w:r>
      <w:r>
        <w:t>则选择</w:t>
      </w:r>
      <w:r>
        <w:rPr>
          <w:rFonts w:hint="eastAsia"/>
        </w:rPr>
        <w:t>的烧产物作为监测因子</w:t>
      </w:r>
      <w:r>
        <w:rPr>
          <w:rFonts w:hint="eastAsia"/>
          <w:lang w:eastAsia="zh-CN"/>
        </w:rPr>
        <w:t>。</w:t>
      </w:r>
    </w:p>
    <w:p>
      <w:pPr>
        <w:pStyle w:val="142"/>
      </w:pPr>
    </w:p>
    <w:p>
      <w:pPr>
        <w:pStyle w:val="124"/>
        <w:ind w:firstLine="560"/>
      </w:pPr>
      <w:r>
        <w:rPr>
          <w:rFonts w:hint="eastAsia"/>
        </w:rPr>
        <w:t>环境</w:t>
      </w:r>
      <w:r>
        <w:t>空气采样及分析方法均</w:t>
      </w:r>
      <w:r>
        <w:rPr>
          <w:rFonts w:hint="eastAsia"/>
        </w:rPr>
        <w:t>根据</w:t>
      </w:r>
      <w:r>
        <w:t>原国家环保总局颁布的《空气和废气监测分析方法》、《环境监测技术规范》中的有关规定执行</w:t>
      </w:r>
      <w:r>
        <w:rPr>
          <w:rFonts w:hint="eastAsia"/>
        </w:rPr>
        <w:t>。</w:t>
      </w:r>
    </w:p>
    <w:p>
      <w:pPr>
        <w:pStyle w:val="124"/>
        <w:ind w:left="567" w:firstLine="140" w:firstLineChars="5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rPr>
          <w:rFonts w:hint="eastAsia"/>
        </w:rPr>
        <w:t>监测时间</w:t>
      </w:r>
      <w:r>
        <w:t>和频次</w:t>
      </w:r>
    </w:p>
    <w:p>
      <w:pPr>
        <w:pStyle w:val="124"/>
        <w:ind w:firstLine="560"/>
        <w:rPr>
          <w:rFonts w:hint="eastAsia"/>
          <w:lang w:val="en-US" w:eastAsia="zh-CN"/>
        </w:rPr>
      </w:pPr>
      <w:r>
        <w:rPr>
          <w:rFonts w:hint="eastAsia"/>
          <w:lang w:val="en-US" w:eastAsia="zh-CN"/>
        </w:rPr>
        <w:t>一般情况下监测频次为3-4次/天，随事故控制减弱，适当减少监测频次，事故发生后对有毒有害物质进行连续监测，直到各监测点有毒有害物质连续两次监测浓度均低于《环境空气质量标准》（GB3095-2012）或已接近可忽略水平。</w:t>
      </w:r>
    </w:p>
    <w:p>
      <w:pPr>
        <w:pStyle w:val="124"/>
        <w:spacing w:line="360" w:lineRule="auto"/>
        <w:ind w:firstLine="560"/>
        <w:contextualSpacing/>
        <w:rPr>
          <w:rFonts w:hint="eastAsia" w:ascii="仿宋" w:hAnsi="仿宋" w:eastAsia="仿宋" w:cs="仿宋"/>
        </w:rPr>
      </w:pPr>
      <w:r>
        <w:rPr>
          <w:rFonts w:hint="eastAsia" w:ascii="仿宋" w:hAnsi="仿宋" w:eastAsia="仿宋" w:cs="仿宋"/>
        </w:rPr>
        <w:fldChar w:fldCharType="begin"/>
      </w:r>
      <w:r>
        <w:rPr>
          <w:rFonts w:hint="eastAsia" w:ascii="仿宋" w:hAnsi="仿宋" w:eastAsia="仿宋" w:cs="仿宋"/>
        </w:rPr>
        <w:instrText xml:space="preserve"> = 3 \* GB3 </w:instrText>
      </w:r>
      <w:r>
        <w:rPr>
          <w:rFonts w:hint="eastAsia" w:ascii="仿宋" w:hAnsi="仿宋" w:eastAsia="仿宋" w:cs="仿宋"/>
        </w:rPr>
        <w:fldChar w:fldCharType="separate"/>
      </w:r>
      <w:r>
        <w:rPr>
          <w:rFonts w:hint="eastAsia" w:ascii="仿宋" w:hAnsi="仿宋" w:eastAsia="仿宋" w:cs="仿宋"/>
        </w:rPr>
        <w:t>③</w:t>
      </w:r>
      <w:r>
        <w:rPr>
          <w:rFonts w:hint="eastAsia" w:ascii="仿宋" w:hAnsi="仿宋" w:eastAsia="仿宋" w:cs="仿宋"/>
        </w:rPr>
        <w:fldChar w:fldCharType="end"/>
      </w:r>
      <w:r>
        <w:rPr>
          <w:rFonts w:hint="eastAsia" w:ascii="仿宋" w:hAnsi="仿宋" w:eastAsia="仿宋" w:cs="仿宋"/>
        </w:rPr>
        <w:t>监测点布设</w:t>
      </w:r>
    </w:p>
    <w:p>
      <w:pPr>
        <w:pStyle w:val="124"/>
        <w:spacing w:line="360" w:lineRule="auto"/>
        <w:ind w:firstLine="560"/>
        <w:contextualSpacing/>
      </w:pPr>
      <w:r>
        <w:rPr>
          <w:rFonts w:hint="eastAsia" w:ascii="仿宋" w:hAnsi="仿宋" w:eastAsia="仿宋" w:cs="仿宋"/>
          <w:lang w:val="en-US" w:eastAsia="zh-CN"/>
        </w:rPr>
        <w:t>事故发生地污染物浓度的最大处，达标距离的位置布监测点。</w:t>
      </w:r>
    </w:p>
    <w:p>
      <w:pPr>
        <w:pStyle w:val="124"/>
        <w:ind w:firstLine="560"/>
      </w:pPr>
      <w:r>
        <w:rPr>
          <w:rFonts w:hint="eastAsia"/>
        </w:rPr>
        <w:t>（2）土壤</w:t>
      </w:r>
      <w:r>
        <w:t>监测</w:t>
      </w:r>
    </w:p>
    <w:p>
      <w:pPr>
        <w:pStyle w:val="124"/>
        <w:spacing w:line="360" w:lineRule="auto"/>
        <w:ind w:firstLine="560"/>
        <w:contextualSpacing/>
        <w:rPr>
          <w:rFonts w:hint="eastAsia" w:ascii="仿宋" w:hAnsi="仿宋" w:eastAsia="仿宋" w:cs="仿宋"/>
        </w:rPr>
      </w:pPr>
      <w:r>
        <w:rPr>
          <w:rFonts w:hint="eastAsia" w:ascii="仿宋" w:hAnsi="仿宋" w:eastAsia="仿宋" w:cs="仿宋"/>
        </w:rPr>
        <w:t>若发生润滑油大量泄漏事故，可能会下渗引发土壤污染事故。因此，当发生润滑油大量泄漏事故时，需要进行土壤监测。以事故地点为中心，选择可能污染较重的若干地块，作为土壤污染物设别的监测地块。如油储罐周围等。</w:t>
      </w:r>
    </w:p>
    <w:p>
      <w:pPr>
        <w:pStyle w:val="124"/>
        <w:spacing w:line="360" w:lineRule="auto"/>
        <w:ind w:firstLine="560"/>
        <w:contextualSpacing/>
        <w:rPr>
          <w:rFonts w:hint="eastAsia" w:eastAsia="仿宋"/>
          <w:lang w:eastAsia="zh-CN"/>
        </w:rPr>
      </w:pPr>
      <w:r>
        <w:rPr>
          <w:rFonts w:hint="eastAsia" w:ascii="宋体" w:hAnsi="宋体" w:eastAsia="宋体" w:cs="宋体"/>
        </w:rPr>
        <w:t>①</w:t>
      </w:r>
      <w:r>
        <w:t>监测因子：pH</w:t>
      </w:r>
      <w:r>
        <w:rPr>
          <w:rFonts w:hint="eastAsia"/>
          <w:lang w:eastAsia="zh-CN"/>
        </w:rPr>
        <w:t>、石油烃、金属</w:t>
      </w:r>
    </w:p>
    <w:p>
      <w:pPr>
        <w:pStyle w:val="124"/>
        <w:spacing w:line="360" w:lineRule="auto"/>
        <w:ind w:firstLine="560"/>
        <w:contextualSpacing/>
      </w:pPr>
      <w:r>
        <w:rPr>
          <w:rFonts w:hint="eastAsia" w:ascii="宋体" w:hAnsi="宋体" w:eastAsia="宋体" w:cs="宋体"/>
        </w:rPr>
        <w:t>②</w:t>
      </w:r>
      <w:r>
        <w:t>监测点位</w:t>
      </w:r>
    </w:p>
    <w:p>
      <w:pPr>
        <w:pStyle w:val="124"/>
        <w:spacing w:line="360" w:lineRule="auto"/>
        <w:ind w:firstLine="560"/>
        <w:contextualSpacing/>
      </w:pPr>
      <w:r>
        <w:t>应以事故发生地为中心，在事故发生地及周围一定距离内的区域按一定的间隔圆形布点采样，并根据污染物的特性在不同深度采样，同时采集未受污染区域的样品作为对照样品。必要时还应采集事故地附近的作物样品。</w:t>
      </w:r>
    </w:p>
    <w:p>
      <w:pPr>
        <w:pStyle w:val="124"/>
        <w:spacing w:line="360" w:lineRule="auto"/>
        <w:ind w:firstLine="560"/>
        <w:contextualSpacing/>
      </w:pPr>
      <w:r>
        <w:t>在相对开阔的污染区域采取垂直深10cm的表层土。一般在10m×10m范围内，采用梅花形布点方法或根据地形采用蛇形布点方法（采样点不少于5个）。</w:t>
      </w:r>
    </w:p>
    <w:p>
      <w:pPr>
        <w:pStyle w:val="124"/>
        <w:spacing w:line="360" w:lineRule="auto"/>
        <w:ind w:firstLine="560"/>
        <w:contextualSpacing/>
      </w:pPr>
      <w:r>
        <w:t>将多点采集的土壤样品除去石块、草根等杂物，现场混合后取1-2kg样品装在塑料袋内密封。</w:t>
      </w:r>
    </w:p>
    <w:p>
      <w:pPr>
        <w:pStyle w:val="124"/>
        <w:spacing w:line="360" w:lineRule="auto"/>
        <w:ind w:firstLine="560"/>
        <w:contextualSpacing/>
      </w:pPr>
      <w:r>
        <w:rPr>
          <w:rFonts w:hint="eastAsia" w:ascii="宋体" w:hAnsi="宋体" w:eastAsia="宋体" w:cs="宋体"/>
        </w:rPr>
        <w:t>③</w:t>
      </w:r>
      <w:r>
        <w:t>监测频次</w:t>
      </w:r>
    </w:p>
    <w:p>
      <w:pPr>
        <w:pStyle w:val="124"/>
        <w:spacing w:line="360" w:lineRule="auto"/>
        <w:ind w:firstLine="560"/>
        <w:contextualSpacing/>
        <w:rPr>
          <w:rFonts w:hint="eastAsia" w:ascii="仿宋" w:hAnsi="仿宋" w:eastAsia="仿宋" w:cs="仿宋"/>
        </w:rPr>
      </w:pPr>
      <w:r>
        <w:t>事发地点和清洁对照点取土样各1次，土壤恢复后采集受污染土地土样1次，视情况根据相关要求开展跟踪监测。</w:t>
      </w:r>
    </w:p>
    <w:p>
      <w:pPr>
        <w:pStyle w:val="124"/>
        <w:numPr>
          <w:ilvl w:val="0"/>
          <w:numId w:val="16"/>
        </w:numPr>
        <w:ind w:firstLine="560"/>
        <w:rPr>
          <w:rFonts w:hint="eastAsia"/>
        </w:rPr>
      </w:pPr>
      <w:r>
        <w:rPr>
          <w:rFonts w:hint="eastAsia"/>
        </w:rPr>
        <w:t>废水应急监测计划</w:t>
      </w:r>
    </w:p>
    <w:p>
      <w:pPr>
        <w:pStyle w:val="124"/>
        <w:spacing w:line="360" w:lineRule="auto"/>
        <w:ind w:firstLine="560"/>
        <w:contextualSpacing/>
      </w:pPr>
      <w:r>
        <w:rPr>
          <w:rFonts w:hint="eastAsia"/>
          <w:lang w:val="en-US" w:eastAsia="zh-CN"/>
        </w:rPr>
        <w:t>我公司生产加工过程不产生废水，且地面防渗，硬化。应急状况下消防水进入应急水池，周边不存在地下水水源地不存在污染地下水的情况。</w:t>
      </w:r>
      <w:r>
        <w:t>若事故救援过程中消防废水、事故冲洗废水泄露，产生的废液可能会污染</w:t>
      </w:r>
      <w:r>
        <w:rPr>
          <w:rFonts w:hint="eastAsia"/>
          <w:lang w:eastAsia="zh-CN"/>
        </w:rPr>
        <w:t>生活污水线</w:t>
      </w:r>
      <w:r>
        <w:t>；</w:t>
      </w:r>
    </w:p>
    <w:p>
      <w:pPr>
        <w:pStyle w:val="124"/>
        <w:spacing w:line="360" w:lineRule="auto"/>
        <w:ind w:firstLine="560"/>
        <w:contextualSpacing/>
        <w:rPr>
          <w:rFonts w:hint="eastAsia"/>
          <w:lang w:val="en-US" w:eastAsia="zh-CN"/>
        </w:rPr>
      </w:pPr>
      <w:r>
        <w:rPr>
          <w:rFonts w:hint="eastAsia"/>
          <w:lang w:val="en-US" w:eastAsia="zh-CN"/>
        </w:rPr>
        <w:t>①生活污水井水环境监测因子</w:t>
      </w:r>
    </w:p>
    <w:p>
      <w:pPr>
        <w:pStyle w:val="124"/>
        <w:spacing w:line="360" w:lineRule="auto"/>
        <w:ind w:firstLine="560"/>
        <w:contextualSpacing/>
      </w:pPr>
      <w:r>
        <w:t>监测因子主要为COD、pH。</w:t>
      </w:r>
    </w:p>
    <w:p>
      <w:pPr>
        <w:pStyle w:val="124"/>
        <w:spacing w:line="360" w:lineRule="auto"/>
        <w:ind w:firstLine="560"/>
        <w:contextualSpacing/>
      </w:pPr>
      <w:r>
        <w:rPr>
          <w:rFonts w:hint="eastAsia" w:ascii="宋体" w:hAnsi="宋体" w:eastAsia="宋体" w:cs="宋体"/>
        </w:rPr>
        <w:t>②</w:t>
      </w:r>
      <w:r>
        <w:t>监测时间和频次</w:t>
      </w:r>
    </w:p>
    <w:p>
      <w:pPr>
        <w:pStyle w:val="124"/>
        <w:spacing w:line="360" w:lineRule="auto"/>
        <w:ind w:firstLine="560"/>
        <w:contextualSpacing/>
      </w:pPr>
      <w:r>
        <w:t>按事故持续时间决定监测时间，根据事故严重性确定监测频次。一般情况下每</w:t>
      </w:r>
      <w:r>
        <w:rPr>
          <w:rFonts w:hint="eastAsia"/>
          <w:lang w:eastAsia="zh-CN"/>
        </w:rPr>
        <w:t>小时一次</w:t>
      </w:r>
      <w:r>
        <w:t>。随事故控制减弱，适当减少监测频次。</w:t>
      </w:r>
    </w:p>
    <w:p>
      <w:pPr>
        <w:pStyle w:val="124"/>
        <w:spacing w:line="360" w:lineRule="auto"/>
        <w:ind w:firstLine="560"/>
        <w:contextualSpacing/>
      </w:pPr>
      <w:r>
        <w:rPr>
          <w:rFonts w:hint="eastAsia" w:ascii="宋体" w:hAnsi="宋体" w:eastAsia="宋体" w:cs="宋体"/>
        </w:rPr>
        <w:t>③</w:t>
      </w:r>
      <w:r>
        <w:t>监测点布设</w:t>
      </w:r>
    </w:p>
    <w:p>
      <w:pPr>
        <w:pStyle w:val="124"/>
        <w:spacing w:line="360" w:lineRule="auto"/>
        <w:ind w:firstLine="560"/>
        <w:contextualSpacing/>
        <w:rPr>
          <w:rFonts w:hint="eastAsia"/>
          <w:lang w:eastAsia="zh-CN"/>
        </w:rPr>
      </w:pPr>
      <w:r>
        <w:t>在公司</w:t>
      </w:r>
      <w:r>
        <w:rPr>
          <w:rFonts w:hint="eastAsia"/>
          <w:lang w:eastAsia="zh-CN"/>
        </w:rPr>
        <w:t>生活污水总</w:t>
      </w:r>
      <w:r>
        <w:t>排放口应该设置监测点位</w:t>
      </w:r>
      <w:r>
        <w:rPr>
          <w:rFonts w:hint="eastAsia"/>
          <w:lang w:eastAsia="zh-CN"/>
        </w:rPr>
        <w:t>。</w:t>
      </w:r>
    </w:p>
    <w:p>
      <w:pPr>
        <w:pStyle w:val="124"/>
        <w:spacing w:line="360" w:lineRule="auto"/>
        <w:ind w:firstLine="560"/>
        <w:contextualSpacing/>
        <w:rPr>
          <w:rFonts w:hint="eastAsia"/>
          <w:b w:val="0"/>
          <w:bCs/>
          <w:lang w:eastAsia="zh-CN"/>
        </w:rPr>
      </w:pPr>
      <w:r>
        <w:rPr>
          <w:rFonts w:hint="eastAsia"/>
          <w:lang w:eastAsia="zh-CN"/>
        </w:rPr>
        <w:t>综述所述，应急监测表如下；</w:t>
      </w:r>
    </w:p>
    <w:p>
      <w:pPr>
        <w:widowControl/>
        <w:ind w:firstLine="480"/>
        <w:jc w:val="center"/>
        <w:rPr>
          <w:rFonts w:hint="eastAsia" w:eastAsia="仿宋"/>
          <w:b w:val="0"/>
          <w:bCs/>
          <w:lang w:eastAsia="zh-CN"/>
        </w:rPr>
      </w:pPr>
      <w:r>
        <w:rPr>
          <w:rFonts w:hint="eastAsia" w:ascii="仿宋" w:hAnsi="仿宋" w:eastAsia="仿宋" w:cs="仿宋"/>
          <w:b w:val="0"/>
          <w:bCs/>
          <w:color w:val="000000"/>
          <w:kern w:val="0"/>
          <w:sz w:val="24"/>
          <w:lang w:bidi="ar"/>
        </w:rPr>
        <w:t>表</w:t>
      </w:r>
      <w:r>
        <w:rPr>
          <w:rFonts w:hint="eastAsia" w:ascii="仿宋" w:hAnsi="仿宋" w:eastAsia="仿宋" w:cs="仿宋"/>
          <w:b w:val="0"/>
          <w:bCs/>
          <w:color w:val="000000"/>
          <w:kern w:val="0"/>
          <w:sz w:val="24"/>
          <w:lang w:val="en-US" w:eastAsia="zh-CN" w:bidi="ar"/>
        </w:rPr>
        <w:t>7</w:t>
      </w:r>
      <w:r>
        <w:rPr>
          <w:rFonts w:hint="eastAsia" w:ascii="仿宋" w:hAnsi="仿宋" w:eastAsia="仿宋" w:cs="仿宋"/>
          <w:b w:val="0"/>
          <w:bCs/>
          <w:color w:val="000000"/>
          <w:kern w:val="0"/>
          <w:sz w:val="24"/>
          <w:lang w:bidi="ar"/>
        </w:rPr>
        <w:t>-</w:t>
      </w:r>
      <w:r>
        <w:rPr>
          <w:rFonts w:hint="eastAsia" w:ascii="仿宋" w:hAnsi="仿宋" w:eastAsia="仿宋" w:cs="仿宋"/>
          <w:b w:val="0"/>
          <w:bCs/>
          <w:color w:val="000000"/>
          <w:kern w:val="0"/>
          <w:sz w:val="24"/>
          <w:lang w:val="en-US" w:eastAsia="zh-CN" w:bidi="ar"/>
        </w:rPr>
        <w:t>1</w:t>
      </w:r>
      <w:r>
        <w:rPr>
          <w:rFonts w:hint="eastAsia" w:ascii="仿宋" w:hAnsi="仿宋" w:eastAsia="仿宋" w:cs="仿宋"/>
          <w:b w:val="0"/>
          <w:bCs/>
          <w:color w:val="000000"/>
          <w:kern w:val="0"/>
          <w:sz w:val="24"/>
          <w:lang w:bidi="ar"/>
        </w:rPr>
        <w:t xml:space="preserve">  </w:t>
      </w:r>
      <w:r>
        <w:rPr>
          <w:rFonts w:hint="eastAsia" w:ascii="仿宋" w:hAnsi="仿宋" w:eastAsia="仿宋" w:cs="仿宋"/>
          <w:b w:val="0"/>
          <w:bCs/>
          <w:color w:val="000000"/>
          <w:kern w:val="0"/>
          <w:sz w:val="24"/>
          <w:lang w:eastAsia="zh-CN" w:bidi="ar"/>
        </w:rPr>
        <w:t>应急监测表</w:t>
      </w:r>
    </w:p>
    <w:tbl>
      <w:tblPr>
        <w:tblStyle w:val="41"/>
        <w:tblW w:w="8880" w:type="dxa"/>
        <w:jc w:val="center"/>
        <w:tblInd w:w="0" w:type="dxa"/>
        <w:tblLayout w:type="fixed"/>
        <w:tblCellMar>
          <w:top w:w="0" w:type="dxa"/>
          <w:left w:w="10" w:type="dxa"/>
          <w:bottom w:w="0" w:type="dxa"/>
          <w:right w:w="10" w:type="dxa"/>
        </w:tblCellMar>
      </w:tblPr>
      <w:tblGrid>
        <w:gridCol w:w="989"/>
        <w:gridCol w:w="3239"/>
        <w:gridCol w:w="1361"/>
        <w:gridCol w:w="1310"/>
        <w:gridCol w:w="1981"/>
      </w:tblGrid>
      <w:tr>
        <w:tblPrEx>
          <w:tblLayout w:type="fixed"/>
          <w:tblCellMar>
            <w:top w:w="0" w:type="dxa"/>
            <w:left w:w="10" w:type="dxa"/>
            <w:bottom w:w="0" w:type="dxa"/>
            <w:right w:w="10" w:type="dxa"/>
          </w:tblCellMar>
        </w:tblPrEx>
        <w:trPr>
          <w:trHeight w:val="283" w:hRule="atLeast"/>
          <w:jc w:val="center"/>
        </w:trPr>
        <w:tc>
          <w:tcPr>
            <w:tcW w:w="989" w:type="dxa"/>
            <w:tcBorders>
              <w:top w:val="single" w:color="000000" w:sz="4" w:space="0"/>
              <w:left w:val="single" w:color="000000" w:sz="4" w:space="0"/>
              <w:bottom w:val="single" w:color="auto" w:sz="4" w:space="0"/>
              <w:right w:val="single" w:color="000000" w:sz="4" w:space="0"/>
            </w:tcBorders>
            <w:tcMar>
              <w:left w:w="108" w:type="dxa"/>
              <w:right w:w="108" w:type="dxa"/>
            </w:tcMar>
            <w:vAlign w:val="center"/>
          </w:tcPr>
          <w:p>
            <w:pPr>
              <w:jc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监测类别</w:t>
            </w:r>
          </w:p>
        </w:tc>
        <w:tc>
          <w:tcPr>
            <w:tcW w:w="3239"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监测点位</w:t>
            </w:r>
          </w:p>
        </w:tc>
        <w:tc>
          <w:tcPr>
            <w:tcW w:w="136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监测项目</w:t>
            </w:r>
          </w:p>
        </w:tc>
        <w:tc>
          <w:tcPr>
            <w:tcW w:w="1310"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rPr>
                <w:rFonts w:ascii="Times New Roman" w:hAnsi="Times New Roman" w:eastAsia="仿宋" w:cs="Times New Roman"/>
                <w:bCs/>
                <w:color w:val="000000"/>
                <w:szCs w:val="21"/>
              </w:rPr>
            </w:pPr>
            <w:r>
              <w:rPr>
                <w:rFonts w:ascii="Times New Roman" w:hAnsi="Times New Roman" w:eastAsia="仿宋" w:cs="Times New Roman"/>
                <w:bCs/>
                <w:color w:val="000000"/>
                <w:szCs w:val="21"/>
              </w:rPr>
              <w:t>监测频次</w:t>
            </w:r>
          </w:p>
        </w:tc>
        <w:tc>
          <w:tcPr>
            <w:tcW w:w="1981" w:type="dxa"/>
            <w:tcBorders>
              <w:top w:val="single" w:color="000000" w:sz="4" w:space="0"/>
              <w:left w:val="single" w:color="000000" w:sz="4" w:space="0"/>
              <w:bottom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bCs/>
                <w:color w:val="000000"/>
                <w:szCs w:val="21"/>
              </w:rPr>
            </w:pPr>
            <w:r>
              <w:rPr>
                <w:rFonts w:ascii="Times New Roman" w:hAnsi="Times New Roman" w:eastAsia="仿宋" w:cs="Times New Roman"/>
                <w:bCs/>
                <w:color w:val="000000"/>
                <w:szCs w:val="21"/>
              </w:rPr>
              <w:t>追踪监测</w:t>
            </w:r>
          </w:p>
        </w:tc>
      </w:tr>
      <w:tr>
        <w:tblPrEx>
          <w:tblLayout w:type="fixed"/>
          <w:tblCellMar>
            <w:top w:w="0" w:type="dxa"/>
            <w:left w:w="10" w:type="dxa"/>
            <w:bottom w:w="0" w:type="dxa"/>
            <w:right w:w="10" w:type="dxa"/>
          </w:tblCellMar>
        </w:tblPrEx>
        <w:trPr>
          <w:trHeight w:val="452" w:hRule="atLeast"/>
          <w:jc w:val="center"/>
        </w:trPr>
        <w:tc>
          <w:tcPr>
            <w:tcW w:w="989" w:type="dxa"/>
            <w:vMerge w:val="restar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大气环境</w:t>
            </w:r>
          </w:p>
        </w:tc>
        <w:tc>
          <w:tcPr>
            <w:tcW w:w="3239" w:type="dxa"/>
            <w:tcBorders>
              <w:top w:val="single" w:color="000000" w:sz="4" w:space="0"/>
              <w:left w:val="single" w:color="auto"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事故发生地污染物浓度的最大处</w:t>
            </w:r>
          </w:p>
        </w:tc>
        <w:tc>
          <w:tcPr>
            <w:tcW w:w="1361" w:type="dxa"/>
            <w:vMerge w:val="restart"/>
            <w:tcBorders>
              <w:top w:val="single" w:color="000000" w:sz="4" w:space="0"/>
              <w:left w:val="single" w:color="000000" w:sz="4" w:space="0"/>
              <w:right w:val="single" w:color="000000" w:sz="4" w:space="0"/>
            </w:tcBorders>
            <w:tcMar>
              <w:left w:w="108" w:type="dxa"/>
              <w:right w:w="108" w:type="dxa"/>
            </w:tcMar>
            <w:vAlign w:val="center"/>
          </w:tcPr>
          <w:p>
            <w:pPr>
              <w:jc w:val="both"/>
              <w:rPr>
                <w:rFonts w:hint="default" w:ascii="Times New Roman" w:hAnsi="Times New Roman" w:eastAsia="仿宋" w:cs="Times New Roman"/>
                <w:color w:val="000000"/>
                <w:szCs w:val="21"/>
                <w:vertAlign w:val="baseline"/>
                <w:lang w:val="en-US" w:eastAsia="zh-CN"/>
              </w:rPr>
            </w:pPr>
            <w:r>
              <w:rPr>
                <w:rFonts w:ascii="Times New Roman" w:hAnsi="Times New Roman" w:eastAsia="仿宋" w:cs="Times New Roman"/>
                <w:color w:val="000000"/>
                <w:szCs w:val="21"/>
              </w:rPr>
              <w:t>CO、</w:t>
            </w:r>
            <w:r>
              <w:rPr>
                <w:rFonts w:hint="eastAsia" w:ascii="Times New Roman" w:hAnsi="Times New Roman" w:eastAsia="仿宋" w:cs="Times New Roman"/>
                <w:color w:val="000000"/>
                <w:szCs w:val="21"/>
                <w:lang w:val="en-US" w:eastAsia="zh-CN"/>
              </w:rPr>
              <w:t>CO</w:t>
            </w:r>
            <w:r>
              <w:rPr>
                <w:rFonts w:hint="eastAsia" w:ascii="Times New Roman" w:hAnsi="Times New Roman" w:eastAsia="仿宋" w:cs="Times New Roman"/>
                <w:color w:val="000000"/>
                <w:szCs w:val="21"/>
                <w:vertAlign w:val="subscript"/>
                <w:lang w:val="en-US" w:eastAsia="zh-CN"/>
              </w:rPr>
              <w:t xml:space="preserve">2 </w:t>
            </w:r>
            <w:r>
              <w:rPr>
                <w:rFonts w:hint="eastAsia" w:ascii="Times New Roman" w:hAnsi="Times New Roman" w:eastAsia="仿宋" w:cs="Times New Roman"/>
                <w:color w:val="000000"/>
                <w:szCs w:val="21"/>
                <w:vertAlign w:val="baseline"/>
                <w:lang w:val="en-US" w:eastAsia="zh-CN"/>
              </w:rPr>
              <w:t>SO</w:t>
            </w:r>
            <w:r>
              <w:rPr>
                <w:rFonts w:hint="eastAsia" w:ascii="Times New Roman" w:hAnsi="Times New Roman" w:eastAsia="仿宋" w:cs="Times New Roman"/>
                <w:color w:val="000000"/>
                <w:szCs w:val="21"/>
                <w:vertAlign w:val="subscript"/>
                <w:lang w:val="en-US" w:eastAsia="zh-CN"/>
              </w:rPr>
              <w:t>2</w:t>
            </w:r>
            <w:r>
              <w:rPr>
                <w:rFonts w:hint="eastAsia" w:ascii="Times New Roman" w:hAnsi="Times New Roman" w:eastAsia="仿宋" w:cs="Times New Roman"/>
                <w:color w:val="000000"/>
                <w:szCs w:val="21"/>
                <w:vertAlign w:val="baseline"/>
                <w:lang w:val="en-US" w:eastAsia="zh-CN"/>
              </w:rPr>
              <w:t xml:space="preserve"> 非甲烷总烃，苯，甲苯，二甲苯</w:t>
            </w:r>
          </w:p>
        </w:tc>
        <w:tc>
          <w:tcPr>
            <w:tcW w:w="1310" w:type="dxa"/>
            <w:vMerge w:val="restart"/>
            <w:tcBorders>
              <w:top w:val="single" w:color="000000" w:sz="4" w:space="0"/>
              <w:left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初始加密监测</w:t>
            </w:r>
            <w:r>
              <w:rPr>
                <w:rFonts w:hint="eastAsia" w:ascii="Times New Roman" w:hAnsi="Times New Roman" w:eastAsia="仿宋" w:cs="Times New Roman"/>
                <w:color w:val="000000"/>
                <w:szCs w:val="21"/>
                <w:lang w:val="en-US" w:eastAsia="zh-CN"/>
              </w:rPr>
              <w:t>1次/小时</w:t>
            </w:r>
            <w:r>
              <w:rPr>
                <w:rFonts w:ascii="Times New Roman" w:hAnsi="Times New Roman" w:eastAsia="仿宋" w:cs="Times New Roman"/>
                <w:color w:val="000000"/>
                <w:szCs w:val="21"/>
              </w:rPr>
              <w:t>，视污染物浓度递减</w:t>
            </w:r>
          </w:p>
        </w:tc>
        <w:tc>
          <w:tcPr>
            <w:tcW w:w="1981" w:type="dxa"/>
            <w:vMerge w:val="restart"/>
            <w:tcBorders>
              <w:top w:val="single" w:color="000000" w:sz="4" w:space="0"/>
              <w:left w:val="single" w:color="000000" w:sz="4" w:space="0"/>
              <w:right w:val="single" w:color="000000" w:sz="4" w:space="0"/>
            </w:tcBorders>
            <w:tcMar>
              <w:left w:w="108" w:type="dxa"/>
              <w:right w:w="108" w:type="dxa"/>
            </w:tcMar>
            <w:vAlign w:val="center"/>
          </w:tcPr>
          <w:p>
            <w:pPr>
              <w:jc w:val="left"/>
              <w:rPr>
                <w:rFonts w:ascii="Times New Roman" w:hAnsi="Times New Roman" w:eastAsia="仿宋" w:cs="Times New Roman"/>
                <w:color w:val="000000"/>
                <w:szCs w:val="21"/>
              </w:rPr>
            </w:pPr>
            <w:r>
              <w:rPr>
                <w:rFonts w:ascii="Times New Roman" w:hAnsi="Times New Roman" w:eastAsia="仿宋" w:cs="Times New Roman"/>
                <w:color w:val="000000"/>
                <w:szCs w:val="21"/>
              </w:rPr>
              <w:t>连续监测2次浓度低于环境空气质量标准值或已接近可忽略水平为止</w:t>
            </w:r>
          </w:p>
        </w:tc>
      </w:tr>
      <w:tr>
        <w:tblPrEx>
          <w:tblLayout w:type="fixed"/>
          <w:tblCellMar>
            <w:top w:w="0" w:type="dxa"/>
            <w:left w:w="10" w:type="dxa"/>
            <w:bottom w:w="0" w:type="dxa"/>
            <w:right w:w="10" w:type="dxa"/>
          </w:tblCellMar>
        </w:tblPrEx>
        <w:trPr>
          <w:trHeight w:val="407" w:hRule="atLeast"/>
          <w:jc w:val="center"/>
        </w:trPr>
        <w:tc>
          <w:tcPr>
            <w:tcW w:w="98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Times New Roman" w:hAnsi="Times New Roman" w:eastAsia="仿宋" w:cs="Times New Roman"/>
                <w:color w:val="000000"/>
                <w:szCs w:val="21"/>
              </w:rPr>
            </w:pPr>
          </w:p>
        </w:tc>
        <w:tc>
          <w:tcPr>
            <w:tcW w:w="3239"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事故发生地的下风向</w:t>
            </w:r>
          </w:p>
        </w:tc>
        <w:tc>
          <w:tcPr>
            <w:tcW w:w="1361" w:type="dxa"/>
            <w:vMerge w:val="continue"/>
            <w:tcBorders>
              <w:left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p>
        </w:tc>
        <w:tc>
          <w:tcPr>
            <w:tcW w:w="1310" w:type="dxa"/>
            <w:vMerge w:val="continue"/>
            <w:tcBorders>
              <w:left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p>
        </w:tc>
        <w:tc>
          <w:tcPr>
            <w:tcW w:w="1981" w:type="dxa"/>
            <w:vMerge w:val="continue"/>
            <w:tcBorders>
              <w:left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p>
        </w:tc>
      </w:tr>
      <w:tr>
        <w:tblPrEx>
          <w:tblLayout w:type="fixed"/>
          <w:tblCellMar>
            <w:top w:w="0" w:type="dxa"/>
            <w:left w:w="10" w:type="dxa"/>
            <w:bottom w:w="0" w:type="dxa"/>
            <w:right w:w="10" w:type="dxa"/>
          </w:tblCellMar>
        </w:tblPrEx>
        <w:trPr>
          <w:trHeight w:val="474" w:hRule="atLeast"/>
          <w:jc w:val="center"/>
        </w:trPr>
        <w:tc>
          <w:tcPr>
            <w:tcW w:w="98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jc w:val="center"/>
              <w:rPr>
                <w:rFonts w:ascii="Times New Roman" w:hAnsi="Times New Roman" w:eastAsia="仿宋" w:cs="Times New Roman"/>
                <w:color w:val="000000"/>
                <w:szCs w:val="21"/>
              </w:rPr>
            </w:pPr>
          </w:p>
        </w:tc>
        <w:tc>
          <w:tcPr>
            <w:tcW w:w="3239"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事故发生地上风向对照点</w:t>
            </w:r>
          </w:p>
        </w:tc>
        <w:tc>
          <w:tcPr>
            <w:tcW w:w="1361" w:type="dxa"/>
            <w:vMerge w:val="continue"/>
            <w:tcBorders>
              <w:left w:val="single" w:color="000000" w:sz="4" w:space="0"/>
              <w:bottom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p>
        </w:tc>
        <w:tc>
          <w:tcPr>
            <w:tcW w:w="1310" w:type="dxa"/>
            <w:vMerge w:val="continue"/>
            <w:tcBorders>
              <w:left w:val="single" w:color="000000" w:sz="4" w:space="0"/>
              <w:bottom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p>
        </w:tc>
        <w:tc>
          <w:tcPr>
            <w:tcW w:w="1981" w:type="dxa"/>
            <w:vMerge w:val="continue"/>
            <w:tcBorders>
              <w:left w:val="single" w:color="000000" w:sz="4" w:space="0"/>
              <w:bottom w:val="single" w:color="000000" w:sz="4" w:space="0"/>
              <w:right w:val="single" w:color="000000" w:sz="4" w:space="0"/>
            </w:tcBorders>
            <w:tcMar>
              <w:left w:w="108" w:type="dxa"/>
              <w:right w:w="108" w:type="dxa"/>
            </w:tcMar>
            <w:vAlign w:val="center"/>
          </w:tcPr>
          <w:p>
            <w:pPr>
              <w:ind w:firstLine="420"/>
              <w:jc w:val="center"/>
              <w:rPr>
                <w:rFonts w:ascii="Times New Roman" w:hAnsi="Times New Roman" w:eastAsia="仿宋" w:cs="Times New Roman"/>
                <w:color w:val="000000"/>
                <w:szCs w:val="21"/>
              </w:rPr>
            </w:pPr>
          </w:p>
        </w:tc>
      </w:tr>
      <w:tr>
        <w:tblPrEx>
          <w:tblLayout w:type="fixed"/>
          <w:tblCellMar>
            <w:top w:w="0" w:type="dxa"/>
            <w:left w:w="10" w:type="dxa"/>
            <w:bottom w:w="0" w:type="dxa"/>
            <w:right w:w="10" w:type="dxa"/>
          </w:tblCellMar>
        </w:tblPrEx>
        <w:trPr>
          <w:trHeight w:val="358" w:hRule="atLeast"/>
          <w:jc w:val="center"/>
        </w:trPr>
        <w:tc>
          <w:tcPr>
            <w:tcW w:w="989" w:type="dxa"/>
            <w:vMerge w:val="restart"/>
            <w:tcBorders>
              <w:top w:val="single" w:color="auto" w:sz="4" w:space="0"/>
              <w:left w:val="single" w:color="auto" w:sz="4" w:space="0"/>
              <w:right w:val="single" w:color="auto" w:sz="4" w:space="0"/>
            </w:tcBorders>
            <w:tcMar>
              <w:left w:w="108" w:type="dxa"/>
              <w:right w:w="108" w:type="dxa"/>
            </w:tcMar>
            <w:vAlign w:val="center"/>
          </w:tcPr>
          <w:p>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水环境</w:t>
            </w:r>
          </w:p>
        </w:tc>
        <w:tc>
          <w:tcPr>
            <w:tcW w:w="3239"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事故发生地上游对照点</w:t>
            </w:r>
          </w:p>
        </w:tc>
        <w:tc>
          <w:tcPr>
            <w:tcW w:w="1361" w:type="dxa"/>
            <w:vMerge w:val="restart"/>
            <w:tcBorders>
              <w:top w:val="single" w:color="000000" w:sz="4" w:space="0"/>
              <w:left w:val="single" w:color="000000" w:sz="4" w:space="0"/>
              <w:right w:val="single" w:color="000000" w:sz="4" w:space="0"/>
            </w:tcBorders>
            <w:tcMar>
              <w:left w:w="108" w:type="dxa"/>
              <w:right w:w="108" w:type="dxa"/>
            </w:tcMar>
            <w:vAlign w:val="center"/>
          </w:tcPr>
          <w:p>
            <w:pPr>
              <w:jc w:val="center"/>
              <w:rPr>
                <w:rFonts w:hint="eastAsia" w:ascii="Times New Roman" w:hAnsi="Times New Roman" w:eastAsia="仿宋" w:cs="Times New Roman"/>
                <w:color w:val="000000"/>
                <w:szCs w:val="21"/>
                <w:lang w:eastAsia="zh-CN"/>
              </w:rPr>
            </w:pPr>
            <w:r>
              <w:rPr>
                <w:rFonts w:ascii="Times New Roman" w:hAnsi="Times New Roman" w:eastAsia="仿宋" w:cs="Times New Roman"/>
                <w:color w:val="000000"/>
                <w:szCs w:val="21"/>
              </w:rPr>
              <w:t>pH、COD</w:t>
            </w:r>
            <w:r>
              <w:rPr>
                <w:rFonts w:hint="eastAsia" w:ascii="Times New Roman" w:hAnsi="Times New Roman" w:eastAsia="仿宋" w:cs="Times New Roman"/>
                <w:color w:val="000000"/>
                <w:szCs w:val="21"/>
                <w:lang w:eastAsia="zh-CN"/>
              </w:rPr>
              <w:t>，石油类</w:t>
            </w:r>
          </w:p>
        </w:tc>
        <w:tc>
          <w:tcPr>
            <w:tcW w:w="1310" w:type="dxa"/>
            <w:vMerge w:val="restart"/>
            <w:tcBorders>
              <w:top w:val="single" w:color="000000" w:sz="4" w:space="0"/>
              <w:left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3次/天</w:t>
            </w:r>
          </w:p>
        </w:tc>
        <w:tc>
          <w:tcPr>
            <w:tcW w:w="1981" w:type="dxa"/>
            <w:vMerge w:val="restart"/>
            <w:tcBorders>
              <w:top w:val="single" w:color="000000" w:sz="4" w:space="0"/>
              <w:left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连续监测2～3天</w:t>
            </w:r>
          </w:p>
        </w:tc>
      </w:tr>
      <w:tr>
        <w:tblPrEx>
          <w:tblLayout w:type="fixed"/>
          <w:tblCellMar>
            <w:top w:w="0" w:type="dxa"/>
            <w:left w:w="10" w:type="dxa"/>
            <w:bottom w:w="0" w:type="dxa"/>
            <w:right w:w="10" w:type="dxa"/>
          </w:tblCellMar>
        </w:tblPrEx>
        <w:trPr>
          <w:trHeight w:val="387" w:hRule="atLeast"/>
          <w:jc w:val="center"/>
        </w:trPr>
        <w:tc>
          <w:tcPr>
            <w:tcW w:w="989" w:type="dxa"/>
            <w:vMerge w:val="continue"/>
            <w:tcBorders>
              <w:left w:val="single" w:color="auto" w:sz="4" w:space="0"/>
              <w:right w:val="single" w:color="auto" w:sz="4" w:space="0"/>
            </w:tcBorders>
            <w:tcMar>
              <w:left w:w="108" w:type="dxa"/>
              <w:right w:w="108" w:type="dxa"/>
            </w:tcMar>
            <w:vAlign w:val="center"/>
          </w:tcPr>
          <w:p>
            <w:pPr>
              <w:jc w:val="center"/>
              <w:rPr>
                <w:rFonts w:ascii="Times New Roman" w:hAnsi="Times New Roman" w:eastAsia="仿宋" w:cs="Times New Roman"/>
                <w:color w:val="000000"/>
                <w:szCs w:val="21"/>
              </w:rPr>
            </w:pPr>
          </w:p>
        </w:tc>
        <w:tc>
          <w:tcPr>
            <w:tcW w:w="3239"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事故发生地污染物浓度的最大处</w:t>
            </w:r>
          </w:p>
        </w:tc>
        <w:tc>
          <w:tcPr>
            <w:tcW w:w="1361" w:type="dxa"/>
            <w:vMerge w:val="continue"/>
            <w:tcBorders>
              <w:left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p>
        </w:tc>
        <w:tc>
          <w:tcPr>
            <w:tcW w:w="1310" w:type="dxa"/>
            <w:vMerge w:val="continue"/>
            <w:tcBorders>
              <w:left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p>
        </w:tc>
        <w:tc>
          <w:tcPr>
            <w:tcW w:w="1981" w:type="dxa"/>
            <w:vMerge w:val="continue"/>
            <w:tcBorders>
              <w:left w:val="single" w:color="000000" w:sz="4" w:space="0"/>
              <w:right w:val="single" w:color="000000" w:sz="4" w:space="0"/>
            </w:tcBorders>
            <w:tcMar>
              <w:left w:w="108" w:type="dxa"/>
              <w:right w:w="108" w:type="dxa"/>
            </w:tcMar>
            <w:vAlign w:val="center"/>
          </w:tcPr>
          <w:p>
            <w:pPr>
              <w:ind w:firstLine="420"/>
              <w:jc w:val="center"/>
              <w:rPr>
                <w:rFonts w:ascii="Times New Roman" w:hAnsi="Times New Roman" w:eastAsia="仿宋" w:cs="Times New Roman"/>
                <w:color w:val="000000"/>
                <w:szCs w:val="21"/>
              </w:rPr>
            </w:pPr>
          </w:p>
        </w:tc>
      </w:tr>
      <w:tr>
        <w:tblPrEx>
          <w:tblLayout w:type="fixed"/>
          <w:tblCellMar>
            <w:top w:w="0" w:type="dxa"/>
            <w:left w:w="10" w:type="dxa"/>
            <w:bottom w:w="0" w:type="dxa"/>
            <w:right w:w="10" w:type="dxa"/>
          </w:tblCellMar>
        </w:tblPrEx>
        <w:trPr>
          <w:trHeight w:val="387" w:hRule="atLeast"/>
          <w:jc w:val="center"/>
        </w:trPr>
        <w:tc>
          <w:tcPr>
            <w:tcW w:w="989" w:type="dxa"/>
            <w:vMerge w:val="continue"/>
            <w:tcBorders>
              <w:left w:val="single" w:color="auto" w:sz="4" w:space="0"/>
              <w:right w:val="single" w:color="auto" w:sz="4" w:space="0"/>
            </w:tcBorders>
            <w:tcMar>
              <w:left w:w="108" w:type="dxa"/>
              <w:right w:w="108" w:type="dxa"/>
            </w:tcMar>
            <w:vAlign w:val="center"/>
          </w:tcPr>
          <w:p>
            <w:pPr>
              <w:jc w:val="center"/>
              <w:rPr>
                <w:rFonts w:ascii="Times New Roman" w:hAnsi="Times New Roman" w:eastAsia="仿宋" w:cs="Times New Roman"/>
                <w:color w:val="000000"/>
                <w:szCs w:val="21"/>
              </w:rPr>
            </w:pPr>
          </w:p>
        </w:tc>
        <w:tc>
          <w:tcPr>
            <w:tcW w:w="3239" w:type="dxa"/>
            <w:tcBorders>
              <w:top w:val="single" w:color="000000" w:sz="4" w:space="0"/>
              <w:left w:val="single" w:color="auto" w:sz="4" w:space="0"/>
              <w:bottom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排污口废水监测</w:t>
            </w:r>
          </w:p>
        </w:tc>
        <w:tc>
          <w:tcPr>
            <w:tcW w:w="1361" w:type="dxa"/>
            <w:vMerge w:val="continue"/>
            <w:tcBorders>
              <w:left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p>
        </w:tc>
        <w:tc>
          <w:tcPr>
            <w:tcW w:w="1310" w:type="dxa"/>
            <w:vMerge w:val="continue"/>
            <w:tcBorders>
              <w:left w:val="single" w:color="000000" w:sz="4" w:space="0"/>
              <w:right w:val="single" w:color="000000" w:sz="4" w:space="0"/>
            </w:tcBorders>
            <w:tcMar>
              <w:left w:w="108" w:type="dxa"/>
              <w:right w:w="108" w:type="dxa"/>
            </w:tcMar>
            <w:vAlign w:val="center"/>
          </w:tcPr>
          <w:p>
            <w:pPr>
              <w:jc w:val="center"/>
              <w:rPr>
                <w:rFonts w:ascii="Times New Roman" w:hAnsi="Times New Roman" w:eastAsia="仿宋" w:cs="Times New Roman"/>
                <w:color w:val="000000"/>
                <w:szCs w:val="21"/>
              </w:rPr>
            </w:pPr>
          </w:p>
        </w:tc>
        <w:tc>
          <w:tcPr>
            <w:tcW w:w="1981" w:type="dxa"/>
            <w:vMerge w:val="continue"/>
            <w:tcBorders>
              <w:left w:val="single" w:color="000000" w:sz="4" w:space="0"/>
              <w:right w:val="single" w:color="000000" w:sz="4" w:space="0"/>
            </w:tcBorders>
            <w:tcMar>
              <w:left w:w="108" w:type="dxa"/>
              <w:right w:w="108" w:type="dxa"/>
            </w:tcMar>
            <w:vAlign w:val="center"/>
          </w:tcPr>
          <w:p>
            <w:pPr>
              <w:ind w:firstLine="420"/>
              <w:jc w:val="center"/>
              <w:rPr>
                <w:rFonts w:ascii="Times New Roman" w:hAnsi="Times New Roman" w:eastAsia="仿宋" w:cs="Times New Roman"/>
                <w:color w:val="000000"/>
                <w:szCs w:val="21"/>
              </w:rPr>
            </w:pPr>
          </w:p>
        </w:tc>
      </w:tr>
      <w:tr>
        <w:tblPrEx>
          <w:tblLayout w:type="fixed"/>
          <w:tblCellMar>
            <w:top w:w="0" w:type="dxa"/>
            <w:left w:w="10" w:type="dxa"/>
            <w:bottom w:w="0" w:type="dxa"/>
            <w:right w:w="10" w:type="dxa"/>
          </w:tblCellMar>
        </w:tblPrEx>
        <w:trPr>
          <w:trHeight w:val="395" w:hRule="atLeast"/>
          <w:jc w:val="center"/>
        </w:trPr>
        <w:tc>
          <w:tcPr>
            <w:tcW w:w="989" w:type="dxa"/>
            <w:vMerge w:val="restart"/>
            <w:tcBorders>
              <w:top w:val="single" w:color="auto" w:sz="4" w:space="0"/>
              <w:left w:val="single" w:color="auto" w:sz="4" w:space="0"/>
              <w:right w:val="single" w:color="auto" w:sz="4" w:space="0"/>
            </w:tcBorders>
            <w:tcMar>
              <w:left w:w="108" w:type="dxa"/>
              <w:right w:w="108" w:type="dxa"/>
            </w:tcMar>
            <w:vAlign w:val="center"/>
          </w:tcPr>
          <w:p>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土壤</w:t>
            </w:r>
          </w:p>
        </w:tc>
        <w:tc>
          <w:tcPr>
            <w:tcW w:w="3239" w:type="dxa"/>
            <w:tcBorders>
              <w:top w:val="single" w:color="000000" w:sz="4" w:space="0"/>
              <w:left w:val="single" w:color="auto" w:sz="4" w:space="0"/>
              <w:bottom w:val="single" w:color="000000" w:sz="4" w:space="0"/>
              <w:right w:val="single" w:color="auto" w:sz="4" w:space="0"/>
            </w:tcBorders>
            <w:tcMar>
              <w:left w:w="108" w:type="dxa"/>
              <w:right w:w="108" w:type="dxa"/>
            </w:tcMar>
            <w:vAlign w:val="center"/>
          </w:tcPr>
          <w:p>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事故发生区域外对照点</w:t>
            </w:r>
          </w:p>
        </w:tc>
        <w:tc>
          <w:tcPr>
            <w:tcW w:w="1361" w:type="dxa"/>
            <w:vMerge w:val="restart"/>
            <w:tcBorders>
              <w:top w:val="single" w:color="auto" w:sz="4" w:space="0"/>
              <w:left w:val="single" w:color="auto" w:sz="4" w:space="0"/>
              <w:right w:val="single" w:color="auto" w:sz="4" w:space="0"/>
            </w:tcBorders>
            <w:tcMar>
              <w:left w:w="108" w:type="dxa"/>
              <w:right w:w="108" w:type="dxa"/>
            </w:tcMar>
            <w:vAlign w:val="center"/>
          </w:tcPr>
          <w:p>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lang w:val="en-US" w:eastAsia="zh-CN"/>
              </w:rPr>
              <w:t>PH，</w:t>
            </w:r>
            <w:r>
              <w:rPr>
                <w:rFonts w:hint="eastAsia" w:ascii="Times New Roman" w:hAnsi="Times New Roman" w:eastAsia="仿宋" w:cs="Times New Roman"/>
                <w:color w:val="000000"/>
                <w:szCs w:val="21"/>
                <w:lang w:eastAsia="zh-CN"/>
              </w:rPr>
              <w:t>石油烃，金属</w:t>
            </w:r>
          </w:p>
        </w:tc>
        <w:tc>
          <w:tcPr>
            <w:tcW w:w="1310" w:type="dxa"/>
            <w:vMerge w:val="restart"/>
            <w:tcBorders>
              <w:top w:val="single" w:color="auto" w:sz="4" w:space="0"/>
              <w:left w:val="single" w:color="auto" w:sz="4" w:space="0"/>
              <w:right w:val="single" w:color="auto" w:sz="4" w:space="0"/>
            </w:tcBorders>
            <w:tcMar>
              <w:left w:w="108" w:type="dxa"/>
              <w:right w:w="108" w:type="dxa"/>
            </w:tcMar>
            <w:vAlign w:val="center"/>
          </w:tcPr>
          <w:p>
            <w:pPr>
              <w:jc w:val="center"/>
              <w:rPr>
                <w:rFonts w:ascii="Times New Roman" w:hAnsi="Times New Roman" w:eastAsia="仿宋" w:cs="Times New Roman"/>
                <w:color w:val="000000"/>
                <w:szCs w:val="21"/>
              </w:rPr>
            </w:pPr>
            <w:r>
              <w:rPr>
                <w:rFonts w:hint="eastAsia" w:ascii="Times New Roman" w:hAnsi="Times New Roman" w:eastAsia="仿宋" w:cs="Times New Roman"/>
                <w:color w:val="000000"/>
                <w:szCs w:val="21"/>
                <w:lang w:val="en-US" w:eastAsia="zh-CN"/>
              </w:rPr>
              <w:t>1</w:t>
            </w:r>
            <w:r>
              <w:rPr>
                <w:rFonts w:ascii="Times New Roman" w:hAnsi="Times New Roman" w:eastAsia="仿宋" w:cs="Times New Roman"/>
                <w:color w:val="000000"/>
                <w:szCs w:val="21"/>
              </w:rPr>
              <w:t>次/应急期间</w:t>
            </w:r>
          </w:p>
        </w:tc>
        <w:tc>
          <w:tcPr>
            <w:tcW w:w="1981" w:type="dxa"/>
            <w:vMerge w:val="restart"/>
            <w:tcBorders>
              <w:top w:val="single" w:color="auto" w:sz="4" w:space="0"/>
              <w:left w:val="single" w:color="auto" w:sz="4" w:space="0"/>
              <w:right w:val="single" w:color="auto" w:sz="4" w:space="0"/>
            </w:tcBorders>
            <w:tcMar>
              <w:left w:w="108" w:type="dxa"/>
              <w:right w:w="108" w:type="dxa"/>
            </w:tcMar>
            <w:vAlign w:val="center"/>
          </w:tcPr>
          <w:p>
            <w:pPr>
              <w:ind w:firstLine="420"/>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w:t>
            </w:r>
          </w:p>
        </w:tc>
      </w:tr>
      <w:tr>
        <w:tblPrEx>
          <w:tblLayout w:type="fixed"/>
          <w:tblCellMar>
            <w:top w:w="0" w:type="dxa"/>
            <w:left w:w="10" w:type="dxa"/>
            <w:bottom w:w="0" w:type="dxa"/>
            <w:right w:w="10" w:type="dxa"/>
          </w:tblCellMar>
        </w:tblPrEx>
        <w:trPr>
          <w:trHeight w:val="368" w:hRule="atLeast"/>
          <w:jc w:val="center"/>
        </w:trPr>
        <w:tc>
          <w:tcPr>
            <w:tcW w:w="989" w:type="dxa"/>
            <w:vMerge w:val="continue"/>
            <w:tcBorders>
              <w:left w:val="single" w:color="auto" w:sz="4" w:space="0"/>
              <w:bottom w:val="single" w:color="auto" w:sz="4" w:space="0"/>
              <w:right w:val="single" w:color="auto" w:sz="4" w:space="0"/>
            </w:tcBorders>
            <w:tcMar>
              <w:left w:w="108" w:type="dxa"/>
              <w:right w:w="108" w:type="dxa"/>
            </w:tcMar>
            <w:vAlign w:val="center"/>
          </w:tcPr>
          <w:p>
            <w:pPr>
              <w:jc w:val="center"/>
              <w:rPr>
                <w:rFonts w:ascii="Times New Roman" w:hAnsi="Times New Roman" w:eastAsia="仿宋" w:cs="Times New Roman"/>
                <w:color w:val="000000"/>
                <w:szCs w:val="21"/>
              </w:rPr>
            </w:pPr>
          </w:p>
        </w:tc>
        <w:tc>
          <w:tcPr>
            <w:tcW w:w="3239" w:type="dxa"/>
            <w:tcBorders>
              <w:top w:val="single" w:color="000000" w:sz="4" w:space="0"/>
              <w:left w:val="single" w:color="auto" w:sz="4" w:space="0"/>
              <w:bottom w:val="single" w:color="000000" w:sz="4" w:space="0"/>
              <w:right w:val="single" w:color="auto" w:sz="4" w:space="0"/>
            </w:tcBorders>
            <w:tcMar>
              <w:left w:w="108" w:type="dxa"/>
              <w:right w:w="108" w:type="dxa"/>
            </w:tcMar>
            <w:vAlign w:val="center"/>
          </w:tcPr>
          <w:p>
            <w:pPr>
              <w:jc w:val="center"/>
              <w:rPr>
                <w:rFonts w:ascii="Times New Roman" w:hAnsi="Times New Roman" w:eastAsia="仿宋" w:cs="Times New Roman"/>
                <w:color w:val="000000"/>
                <w:szCs w:val="21"/>
              </w:rPr>
            </w:pPr>
            <w:r>
              <w:rPr>
                <w:rFonts w:ascii="Times New Roman" w:hAnsi="Times New Roman" w:eastAsia="仿宋" w:cs="Times New Roman"/>
                <w:color w:val="000000"/>
                <w:szCs w:val="21"/>
              </w:rPr>
              <w:t>事故发生地</w:t>
            </w:r>
          </w:p>
        </w:tc>
        <w:tc>
          <w:tcPr>
            <w:tcW w:w="1361" w:type="dxa"/>
            <w:vMerge w:val="continue"/>
            <w:tcBorders>
              <w:left w:val="single" w:color="auto" w:sz="4" w:space="0"/>
              <w:bottom w:val="single" w:color="auto" w:sz="4" w:space="0"/>
              <w:right w:val="single" w:color="auto" w:sz="4" w:space="0"/>
            </w:tcBorders>
            <w:tcMar>
              <w:left w:w="108" w:type="dxa"/>
              <w:right w:w="108" w:type="dxa"/>
            </w:tcMar>
            <w:vAlign w:val="center"/>
          </w:tcPr>
          <w:p>
            <w:pPr>
              <w:jc w:val="center"/>
              <w:rPr>
                <w:rFonts w:ascii="Times New Roman" w:hAnsi="Times New Roman" w:eastAsia="仿宋" w:cs="Times New Roman"/>
                <w:color w:val="000000"/>
                <w:szCs w:val="21"/>
              </w:rPr>
            </w:pPr>
          </w:p>
        </w:tc>
        <w:tc>
          <w:tcPr>
            <w:tcW w:w="1310" w:type="dxa"/>
            <w:vMerge w:val="continue"/>
            <w:tcBorders>
              <w:left w:val="single" w:color="auto" w:sz="4" w:space="0"/>
              <w:bottom w:val="single" w:color="auto" w:sz="4" w:space="0"/>
              <w:right w:val="single" w:color="auto" w:sz="4" w:space="0"/>
            </w:tcBorders>
            <w:tcMar>
              <w:left w:w="108" w:type="dxa"/>
              <w:right w:w="108" w:type="dxa"/>
            </w:tcMar>
            <w:vAlign w:val="center"/>
          </w:tcPr>
          <w:p>
            <w:pPr>
              <w:jc w:val="center"/>
              <w:rPr>
                <w:rFonts w:ascii="Times New Roman" w:hAnsi="Times New Roman" w:eastAsia="仿宋" w:cs="Times New Roman"/>
                <w:color w:val="000000"/>
                <w:szCs w:val="21"/>
              </w:rPr>
            </w:pPr>
          </w:p>
        </w:tc>
        <w:tc>
          <w:tcPr>
            <w:tcW w:w="1981" w:type="dxa"/>
            <w:vMerge w:val="continue"/>
            <w:tcBorders>
              <w:left w:val="single" w:color="auto" w:sz="4" w:space="0"/>
              <w:bottom w:val="single" w:color="auto" w:sz="4" w:space="0"/>
              <w:right w:val="single" w:color="auto" w:sz="4" w:space="0"/>
            </w:tcBorders>
            <w:tcMar>
              <w:left w:w="108" w:type="dxa"/>
              <w:right w:w="108" w:type="dxa"/>
            </w:tcMar>
            <w:vAlign w:val="center"/>
          </w:tcPr>
          <w:p>
            <w:pPr>
              <w:ind w:firstLine="420"/>
              <w:jc w:val="center"/>
              <w:rPr>
                <w:rFonts w:ascii="Times New Roman" w:hAnsi="Times New Roman" w:eastAsia="仿宋" w:cs="Times New Roman"/>
                <w:color w:val="000000"/>
                <w:szCs w:val="21"/>
              </w:rPr>
            </w:pPr>
          </w:p>
        </w:tc>
      </w:tr>
    </w:tbl>
    <w:p>
      <w:pPr>
        <w:pStyle w:val="124"/>
        <w:numPr>
          <w:ilvl w:val="0"/>
          <w:numId w:val="0"/>
        </w:numPr>
        <w:rPr>
          <w:rFonts w:hint="eastAsia"/>
          <w:lang w:val="en-US" w:eastAsia="zh-CN"/>
        </w:rPr>
      </w:pPr>
    </w:p>
    <w:p>
      <w:pPr>
        <w:pStyle w:val="131"/>
        <w:numPr>
          <w:ilvl w:val="1"/>
          <w:numId w:val="0"/>
        </w:numPr>
        <w:bidi w:val="0"/>
        <w:ind w:leftChars="0"/>
        <w:jc w:val="center"/>
      </w:pPr>
      <w:bookmarkStart w:id="235" w:name="_Toc4502"/>
      <w:r>
        <w:drawing>
          <wp:inline distT="0" distB="0" distL="114300" distR="114300">
            <wp:extent cx="5179060" cy="4398645"/>
            <wp:effectExtent l="0" t="0" r="2540" b="1905"/>
            <wp:docPr id="1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3"/>
                    <pic:cNvPicPr>
                      <a:picLocks noChangeAspect="1"/>
                    </pic:cNvPicPr>
                  </pic:nvPicPr>
                  <pic:blipFill>
                    <a:blip r:embed="rId22"/>
                    <a:stretch>
                      <a:fillRect/>
                    </a:stretch>
                  </pic:blipFill>
                  <pic:spPr>
                    <a:xfrm>
                      <a:off x="0" y="0"/>
                      <a:ext cx="5179060" cy="4398645"/>
                    </a:xfrm>
                    <a:prstGeom prst="rect">
                      <a:avLst/>
                    </a:prstGeom>
                    <a:noFill/>
                    <a:ln>
                      <a:noFill/>
                    </a:ln>
                  </pic:spPr>
                </pic:pic>
              </a:graphicData>
            </a:graphic>
          </wp:inline>
        </w:drawing>
      </w:r>
      <w:bookmarkEnd w:id="235"/>
    </w:p>
    <w:p>
      <w:pPr>
        <w:widowControl/>
        <w:ind w:firstLine="480"/>
        <w:jc w:val="center"/>
        <w:rPr>
          <w:rFonts w:hint="eastAsia" w:ascii="仿宋" w:hAnsi="仿宋" w:eastAsia="仿宋" w:cs="仿宋"/>
          <w:b w:val="0"/>
          <w:bCs/>
          <w:color w:val="000000"/>
          <w:kern w:val="0"/>
          <w:sz w:val="24"/>
          <w:lang w:eastAsia="zh-CN" w:bidi="ar"/>
        </w:rPr>
      </w:pPr>
      <w:r>
        <w:rPr>
          <w:rFonts w:hint="eastAsia" w:ascii="仿宋" w:hAnsi="仿宋" w:eastAsia="仿宋" w:cs="仿宋"/>
          <w:b w:val="0"/>
          <w:bCs/>
          <w:color w:val="000000"/>
          <w:kern w:val="0"/>
          <w:sz w:val="24"/>
          <w:lang w:eastAsia="zh-CN" w:bidi="ar"/>
        </w:rPr>
        <w:t>图</w:t>
      </w:r>
      <w:r>
        <w:rPr>
          <w:rFonts w:hint="eastAsia" w:ascii="仿宋" w:hAnsi="仿宋" w:eastAsia="仿宋" w:cs="仿宋"/>
          <w:b w:val="0"/>
          <w:bCs/>
          <w:color w:val="000000"/>
          <w:kern w:val="0"/>
          <w:sz w:val="24"/>
          <w:lang w:val="en-US" w:eastAsia="zh-CN" w:bidi="ar"/>
        </w:rPr>
        <w:t xml:space="preserve">7-1 </w:t>
      </w:r>
      <w:r>
        <w:rPr>
          <w:rFonts w:hint="eastAsia" w:ascii="仿宋" w:hAnsi="仿宋" w:eastAsia="仿宋" w:cs="仿宋"/>
          <w:b w:val="0"/>
          <w:bCs/>
          <w:color w:val="000000"/>
          <w:kern w:val="0"/>
          <w:sz w:val="24"/>
          <w:lang w:eastAsia="zh-CN" w:bidi="ar"/>
        </w:rPr>
        <w:t>应急监测点位示意图</w:t>
      </w:r>
    </w:p>
    <w:p>
      <w:pPr>
        <w:pStyle w:val="131"/>
        <w:bidi w:val="0"/>
        <w:rPr>
          <w:rFonts w:hint="eastAsia"/>
          <w:lang w:eastAsia="zh-CN"/>
        </w:rPr>
      </w:pPr>
      <w:bookmarkStart w:id="236" w:name="_Toc24929"/>
      <w:r>
        <w:rPr>
          <w:rFonts w:hint="eastAsia"/>
          <w:lang w:eastAsia="zh-CN"/>
        </w:rPr>
        <w:t>监测数据的报告和发布</w:t>
      </w:r>
      <w:bookmarkEnd w:id="236"/>
    </w:p>
    <w:p>
      <w:pPr>
        <w:pStyle w:val="124"/>
        <w:ind w:firstLine="560"/>
        <w:rPr>
          <w:rFonts w:hint="eastAsia" w:ascii="仿宋" w:hAnsi="仿宋" w:eastAsia="仿宋" w:cs="仿宋"/>
          <w:lang w:val="en-US" w:eastAsia="zh-CN"/>
        </w:rPr>
      </w:pPr>
      <w:r>
        <w:rPr>
          <w:rFonts w:hint="eastAsia" w:ascii="仿宋" w:hAnsi="仿宋" w:eastAsia="仿宋" w:cs="仿宋"/>
          <w:lang w:val="en-US" w:eastAsia="zh-CN"/>
        </w:rPr>
        <w:t>监测数据应及时向应急领导小组和乌鲁木齐市生态环境局汇报，应急领导小组据此展开相关应急措施；同时公开向社会发布环境应急监测数据。监测标准及方法见表7-</w:t>
      </w:r>
      <w:r>
        <w:rPr>
          <w:rFonts w:hint="eastAsia" w:ascii="仿宋" w:hAnsi="仿宋" w:cs="仿宋"/>
          <w:lang w:val="en-US" w:eastAsia="zh-CN"/>
        </w:rPr>
        <w:t>2</w:t>
      </w:r>
      <w:r>
        <w:rPr>
          <w:rFonts w:hint="eastAsia" w:ascii="仿宋" w:hAnsi="仿宋" w:eastAsia="仿宋" w:cs="仿宋"/>
          <w:lang w:val="en-US" w:eastAsia="zh-CN"/>
        </w:rPr>
        <w:t>。</w:t>
      </w:r>
    </w:p>
    <w:p>
      <w:pPr>
        <w:widowControl/>
        <w:ind w:firstLine="480"/>
        <w:jc w:val="center"/>
        <w:rPr>
          <w:rFonts w:hint="eastAsia" w:ascii="仿宋" w:hAnsi="仿宋" w:eastAsia="仿宋" w:cs="仿宋"/>
          <w:sz w:val="24"/>
        </w:rPr>
      </w:pPr>
      <w:r>
        <w:rPr>
          <w:rFonts w:hint="eastAsia" w:ascii="仿宋" w:hAnsi="仿宋" w:eastAsia="仿宋" w:cs="仿宋"/>
          <w:bCs/>
          <w:color w:val="000000"/>
          <w:kern w:val="0"/>
          <w:sz w:val="24"/>
          <w:lang w:bidi="ar"/>
        </w:rPr>
        <w:t>表</w:t>
      </w:r>
      <w:r>
        <w:rPr>
          <w:rFonts w:hint="eastAsia" w:ascii="仿宋" w:hAnsi="仿宋" w:eastAsia="仿宋" w:cs="仿宋"/>
          <w:bCs/>
          <w:color w:val="000000"/>
          <w:kern w:val="0"/>
          <w:sz w:val="24"/>
          <w:lang w:val="en-US" w:eastAsia="zh-CN" w:bidi="ar"/>
        </w:rPr>
        <w:t>7</w:t>
      </w:r>
      <w:r>
        <w:rPr>
          <w:rFonts w:hint="eastAsia" w:ascii="仿宋" w:hAnsi="仿宋" w:eastAsia="仿宋" w:cs="仿宋"/>
          <w:bCs/>
          <w:color w:val="000000"/>
          <w:kern w:val="0"/>
          <w:sz w:val="24"/>
          <w:lang w:bidi="ar"/>
        </w:rPr>
        <w:t>-</w:t>
      </w:r>
      <w:r>
        <w:rPr>
          <w:rFonts w:hint="eastAsia" w:ascii="仿宋" w:hAnsi="仿宋" w:eastAsia="仿宋" w:cs="仿宋"/>
          <w:bCs/>
          <w:color w:val="000000"/>
          <w:kern w:val="0"/>
          <w:sz w:val="24"/>
          <w:lang w:val="en-US" w:eastAsia="zh-CN" w:bidi="ar"/>
        </w:rPr>
        <w:t>2</w:t>
      </w:r>
      <w:r>
        <w:rPr>
          <w:rFonts w:hint="eastAsia" w:ascii="仿宋" w:hAnsi="仿宋" w:eastAsia="仿宋" w:cs="仿宋"/>
          <w:b/>
          <w:color w:val="000000"/>
          <w:kern w:val="0"/>
          <w:sz w:val="24"/>
          <w:lang w:bidi="ar"/>
        </w:rPr>
        <w:t xml:space="preserve">  </w:t>
      </w:r>
      <w:r>
        <w:rPr>
          <w:rFonts w:hint="eastAsia" w:ascii="仿宋" w:hAnsi="仿宋" w:eastAsia="仿宋" w:cs="仿宋"/>
          <w:bCs/>
          <w:color w:val="000000"/>
          <w:kern w:val="0"/>
          <w:sz w:val="24"/>
          <w:lang w:bidi="ar"/>
        </w:rPr>
        <w:t>监测分析方法一览表</w:t>
      </w:r>
    </w:p>
    <w:tbl>
      <w:tblPr>
        <w:tblStyle w:val="42"/>
        <w:tblW w:w="88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2388"/>
        <w:gridCol w:w="3385"/>
        <w:gridCol w:w="2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 w:hRule="atLeast"/>
          <w:jc w:val="center"/>
        </w:trPr>
        <w:tc>
          <w:tcPr>
            <w:tcW w:w="832" w:type="dxa"/>
            <w:tcBorders>
              <w:tl2br w:val="nil"/>
              <w:tr2bl w:val="nil"/>
            </w:tcBorders>
            <w:vAlign w:val="center"/>
          </w:tcPr>
          <w:p>
            <w:pPr>
              <w:pStyle w:val="2"/>
              <w:jc w:val="center"/>
              <w:rPr>
                <w:rFonts w:hint="eastAsia" w:ascii="仿宋" w:hAnsi="仿宋" w:eastAsia="仿宋" w:cs="仿宋"/>
                <w:sz w:val="21"/>
                <w:szCs w:val="21"/>
              </w:rPr>
            </w:pPr>
            <w:r>
              <w:rPr>
                <w:rFonts w:hint="eastAsia" w:ascii="仿宋" w:hAnsi="仿宋" w:eastAsia="仿宋" w:cs="仿宋"/>
                <w:sz w:val="21"/>
                <w:szCs w:val="21"/>
              </w:rPr>
              <w:t>类别</w:t>
            </w:r>
          </w:p>
        </w:tc>
        <w:tc>
          <w:tcPr>
            <w:tcW w:w="2388" w:type="dxa"/>
            <w:tcBorders>
              <w:tl2br w:val="nil"/>
              <w:tr2bl w:val="nil"/>
            </w:tcBorders>
            <w:vAlign w:val="center"/>
          </w:tcPr>
          <w:p>
            <w:pPr>
              <w:pStyle w:val="2"/>
              <w:jc w:val="center"/>
              <w:rPr>
                <w:rFonts w:hint="eastAsia" w:ascii="仿宋" w:hAnsi="仿宋" w:eastAsia="仿宋" w:cs="仿宋"/>
                <w:sz w:val="21"/>
                <w:szCs w:val="21"/>
              </w:rPr>
            </w:pPr>
            <w:r>
              <w:rPr>
                <w:rFonts w:hint="eastAsia" w:ascii="仿宋" w:hAnsi="仿宋" w:eastAsia="仿宋" w:cs="仿宋"/>
                <w:sz w:val="21"/>
                <w:szCs w:val="21"/>
              </w:rPr>
              <w:t>项目</w:t>
            </w:r>
          </w:p>
        </w:tc>
        <w:tc>
          <w:tcPr>
            <w:tcW w:w="3385" w:type="dxa"/>
            <w:tcBorders>
              <w:tl2br w:val="nil"/>
              <w:tr2bl w:val="nil"/>
            </w:tcBorders>
            <w:vAlign w:val="center"/>
          </w:tcPr>
          <w:p>
            <w:pPr>
              <w:pStyle w:val="2"/>
              <w:jc w:val="center"/>
              <w:rPr>
                <w:rFonts w:hint="eastAsia" w:ascii="仿宋" w:hAnsi="仿宋" w:eastAsia="仿宋" w:cs="仿宋"/>
                <w:sz w:val="21"/>
                <w:szCs w:val="21"/>
              </w:rPr>
            </w:pPr>
            <w:r>
              <w:rPr>
                <w:rFonts w:hint="eastAsia" w:ascii="仿宋" w:hAnsi="仿宋" w:eastAsia="仿宋" w:cs="仿宋"/>
                <w:sz w:val="21"/>
                <w:szCs w:val="21"/>
              </w:rPr>
              <w:t>分析方法</w:t>
            </w:r>
          </w:p>
        </w:tc>
        <w:tc>
          <w:tcPr>
            <w:tcW w:w="2275" w:type="dxa"/>
            <w:tcBorders>
              <w:tl2br w:val="nil"/>
              <w:tr2bl w:val="nil"/>
            </w:tcBorders>
            <w:vAlign w:val="center"/>
          </w:tcPr>
          <w:p>
            <w:pPr>
              <w:pStyle w:val="2"/>
              <w:jc w:val="center"/>
              <w:rPr>
                <w:rFonts w:hint="eastAsia" w:ascii="仿宋" w:hAnsi="仿宋" w:eastAsia="仿宋" w:cs="仿宋"/>
                <w:sz w:val="21"/>
                <w:szCs w:val="21"/>
              </w:rPr>
            </w:pPr>
            <w:r>
              <w:rPr>
                <w:rFonts w:hint="eastAsia" w:ascii="仿宋" w:hAnsi="仿宋" w:eastAsia="仿宋" w:cs="仿宋"/>
                <w:sz w:val="21"/>
                <w:szCs w:val="21"/>
              </w:rPr>
              <w:t>方法来源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 w:hRule="atLeast"/>
          <w:jc w:val="center"/>
        </w:trPr>
        <w:tc>
          <w:tcPr>
            <w:tcW w:w="832" w:type="dxa"/>
            <w:vMerge w:val="restart"/>
            <w:tcBorders>
              <w:tl2br w:val="nil"/>
              <w:tr2bl w:val="nil"/>
            </w:tcBorders>
            <w:vAlign w:val="center"/>
          </w:tcPr>
          <w:p>
            <w:pPr>
              <w:pStyle w:val="2"/>
              <w:jc w:val="center"/>
              <w:rPr>
                <w:rFonts w:hint="eastAsia" w:ascii="仿宋" w:hAnsi="仿宋" w:eastAsia="仿宋" w:cs="仿宋"/>
                <w:sz w:val="21"/>
                <w:szCs w:val="21"/>
              </w:rPr>
            </w:pPr>
            <w:r>
              <w:rPr>
                <w:rFonts w:hint="eastAsia" w:ascii="仿宋" w:hAnsi="仿宋" w:eastAsia="仿宋" w:cs="仿宋"/>
                <w:sz w:val="21"/>
                <w:szCs w:val="21"/>
              </w:rPr>
              <w:t>土壤</w:t>
            </w:r>
          </w:p>
        </w:tc>
        <w:tc>
          <w:tcPr>
            <w:tcW w:w="2388" w:type="dxa"/>
            <w:tcBorders>
              <w:tl2br w:val="nil"/>
              <w:tr2bl w:val="nil"/>
            </w:tcBorders>
            <w:vAlign w:val="center"/>
          </w:tcPr>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pH</w:t>
            </w:r>
          </w:p>
        </w:tc>
        <w:tc>
          <w:tcPr>
            <w:tcW w:w="3385" w:type="dxa"/>
            <w:tcBorders>
              <w:tl2br w:val="nil"/>
              <w:tr2bl w:val="nil"/>
            </w:tcBorders>
            <w:vAlign w:val="center"/>
          </w:tcPr>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玻璃电极法</w:t>
            </w:r>
          </w:p>
        </w:tc>
        <w:tc>
          <w:tcPr>
            <w:tcW w:w="2275" w:type="dxa"/>
            <w:tcBorders>
              <w:tl2br w:val="nil"/>
              <w:tr2bl w:val="nil"/>
            </w:tcBorders>
            <w:vAlign w:val="center"/>
          </w:tcPr>
          <w:p>
            <w:pPr>
              <w:widowControl/>
              <w:spacing w:line="240" w:lineRule="auto"/>
              <w:ind w:firstLine="0" w:firstLineChars="0"/>
              <w:jc w:val="center"/>
              <w:rPr>
                <w:rFonts w:hint="eastAsia" w:ascii="仿宋" w:hAnsi="仿宋" w:eastAsia="仿宋" w:cs="仿宋"/>
                <w:sz w:val="21"/>
                <w:szCs w:val="21"/>
              </w:rPr>
            </w:pPr>
            <w:r>
              <w:rPr>
                <w:rFonts w:hint="eastAsia" w:ascii="仿宋" w:hAnsi="仿宋" w:eastAsia="仿宋" w:cs="仿宋"/>
                <w:color w:val="000000"/>
                <w:kern w:val="0"/>
                <w:sz w:val="21"/>
                <w:szCs w:val="21"/>
                <w:lang w:bidi="ar"/>
              </w:rPr>
              <w:t>GB/T14550-95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 w:hRule="atLeast"/>
          <w:jc w:val="center"/>
        </w:trPr>
        <w:tc>
          <w:tcPr>
            <w:tcW w:w="832" w:type="dxa"/>
            <w:vMerge w:val="continue"/>
            <w:tcBorders>
              <w:tl2br w:val="nil"/>
              <w:tr2bl w:val="nil"/>
            </w:tcBorders>
            <w:vAlign w:val="center"/>
          </w:tcPr>
          <w:p>
            <w:pPr>
              <w:pStyle w:val="2"/>
              <w:jc w:val="center"/>
              <w:rPr>
                <w:rFonts w:hint="eastAsia" w:ascii="仿宋" w:hAnsi="仿宋" w:eastAsia="仿宋" w:cs="仿宋"/>
                <w:sz w:val="21"/>
                <w:szCs w:val="21"/>
              </w:rPr>
            </w:pPr>
          </w:p>
        </w:tc>
        <w:tc>
          <w:tcPr>
            <w:tcW w:w="2388" w:type="dxa"/>
            <w:tcBorders>
              <w:tl2br w:val="nil"/>
              <w:tr2bl w:val="nil"/>
            </w:tcBorders>
            <w:vAlign w:val="center"/>
          </w:tcPr>
          <w:p>
            <w:pPr>
              <w:widowControl/>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金属</w:t>
            </w:r>
          </w:p>
        </w:tc>
        <w:tc>
          <w:tcPr>
            <w:tcW w:w="3385" w:type="dxa"/>
            <w:tcBorders>
              <w:tl2br w:val="nil"/>
              <w:tr2bl w:val="nil"/>
            </w:tcBorders>
            <w:vAlign w:val="center"/>
          </w:tcPr>
          <w:p>
            <w:pPr>
              <w:widowControl/>
              <w:spacing w:line="240" w:lineRule="auto"/>
              <w:ind w:firstLine="0" w:firstLineChars="0"/>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原子荧光法</w:t>
            </w:r>
          </w:p>
        </w:tc>
        <w:tc>
          <w:tcPr>
            <w:tcW w:w="2275" w:type="dxa"/>
            <w:tcBorders>
              <w:tl2br w:val="nil"/>
              <w:tr2bl w:val="nil"/>
            </w:tcBorders>
            <w:vAlign w:val="center"/>
          </w:tcPr>
          <w:p>
            <w:pPr>
              <w:pStyle w:val="2"/>
              <w:jc w:val="center"/>
              <w:rPr>
                <w:rFonts w:hint="default" w:ascii="仿宋" w:hAnsi="仿宋" w:eastAsia="仿宋" w:cs="仿宋"/>
                <w:sz w:val="21"/>
                <w:szCs w:val="21"/>
                <w:lang w:val="en-US" w:eastAsia="zh-CN"/>
              </w:rPr>
            </w:pPr>
            <w:r>
              <w:rPr>
                <w:rFonts w:hint="eastAsia" w:ascii="仿宋" w:hAnsi="仿宋" w:eastAsia="仿宋" w:cs="仿宋"/>
                <w:sz w:val="21"/>
                <w:szCs w:val="21"/>
                <w:lang w:val="en-US" w:eastAsia="zh-CN"/>
              </w:rPr>
              <w:t>GB/T22105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Merge w:val="restart"/>
            <w:tcBorders>
              <w:tl2br w:val="nil"/>
              <w:tr2bl w:val="nil"/>
            </w:tcBorders>
            <w:vAlign w:val="center"/>
          </w:tcPr>
          <w:p>
            <w:pPr>
              <w:pStyle w:val="2"/>
              <w:jc w:val="center"/>
              <w:rPr>
                <w:rFonts w:hint="eastAsia" w:ascii="仿宋" w:hAnsi="仿宋" w:eastAsia="仿宋" w:cs="仿宋"/>
                <w:sz w:val="21"/>
                <w:szCs w:val="21"/>
              </w:rPr>
            </w:pPr>
            <w:r>
              <w:rPr>
                <w:rFonts w:hint="eastAsia" w:ascii="仿宋" w:hAnsi="仿宋" w:eastAsia="仿宋" w:cs="仿宋"/>
                <w:sz w:val="21"/>
                <w:szCs w:val="21"/>
              </w:rPr>
              <w:t>大气</w:t>
            </w:r>
          </w:p>
        </w:tc>
        <w:tc>
          <w:tcPr>
            <w:tcW w:w="2388"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CO</w:t>
            </w:r>
          </w:p>
        </w:tc>
        <w:tc>
          <w:tcPr>
            <w:tcW w:w="3385"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非色散红外吸收法</w:t>
            </w:r>
          </w:p>
        </w:tc>
        <w:tc>
          <w:tcPr>
            <w:tcW w:w="2275"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HJ/T44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Merge w:val="continue"/>
            <w:tcBorders>
              <w:tl2br w:val="nil"/>
              <w:tr2bl w:val="nil"/>
            </w:tcBorders>
            <w:vAlign w:val="center"/>
          </w:tcPr>
          <w:p>
            <w:pPr>
              <w:pStyle w:val="2"/>
              <w:jc w:val="center"/>
              <w:rPr>
                <w:rFonts w:hint="eastAsia" w:ascii="仿宋" w:hAnsi="仿宋" w:eastAsia="仿宋" w:cs="仿宋"/>
                <w:sz w:val="21"/>
                <w:szCs w:val="21"/>
              </w:rPr>
            </w:pPr>
          </w:p>
        </w:tc>
        <w:tc>
          <w:tcPr>
            <w:tcW w:w="2388"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SO</w:t>
            </w:r>
            <w:r>
              <w:rPr>
                <w:rFonts w:hint="eastAsia" w:ascii="仿宋" w:hAnsi="仿宋" w:eastAsia="仿宋" w:cs="仿宋"/>
                <w:color w:val="000000"/>
                <w:kern w:val="0"/>
                <w:sz w:val="21"/>
                <w:szCs w:val="21"/>
                <w:vertAlign w:val="subscript"/>
                <w:lang w:bidi="ar"/>
              </w:rPr>
              <w:t>2</w:t>
            </w:r>
          </w:p>
        </w:tc>
        <w:tc>
          <w:tcPr>
            <w:tcW w:w="3385"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甲醛吸收-副玫瑰苯胺分光光度法</w:t>
            </w:r>
          </w:p>
        </w:tc>
        <w:tc>
          <w:tcPr>
            <w:tcW w:w="2275"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HJ482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Merge w:val="continue"/>
            <w:tcBorders>
              <w:tl2br w:val="nil"/>
              <w:tr2bl w:val="nil"/>
            </w:tcBorders>
            <w:vAlign w:val="center"/>
          </w:tcPr>
          <w:p>
            <w:pPr>
              <w:pStyle w:val="2"/>
              <w:jc w:val="center"/>
              <w:rPr>
                <w:rFonts w:hint="eastAsia" w:ascii="仿宋" w:hAnsi="仿宋" w:eastAsia="仿宋" w:cs="仿宋"/>
                <w:sz w:val="21"/>
                <w:szCs w:val="21"/>
              </w:rPr>
            </w:pPr>
          </w:p>
        </w:tc>
        <w:tc>
          <w:tcPr>
            <w:tcW w:w="2388"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vertAlign w:val="subscript"/>
                <w:lang w:bidi="ar"/>
              </w:rPr>
            </w:pPr>
            <w:r>
              <w:rPr>
                <w:rFonts w:hint="eastAsia" w:ascii="仿宋" w:hAnsi="仿宋" w:eastAsia="仿宋" w:cs="仿宋"/>
                <w:color w:val="000000"/>
                <w:kern w:val="0"/>
                <w:sz w:val="21"/>
                <w:szCs w:val="21"/>
                <w:lang w:bidi="ar"/>
              </w:rPr>
              <w:t>NO</w:t>
            </w:r>
            <w:r>
              <w:rPr>
                <w:rFonts w:hint="eastAsia" w:ascii="仿宋" w:hAnsi="仿宋" w:eastAsia="仿宋" w:cs="仿宋"/>
                <w:color w:val="000000"/>
                <w:kern w:val="0"/>
                <w:sz w:val="21"/>
                <w:szCs w:val="21"/>
                <w:vertAlign w:val="subscript"/>
                <w:lang w:bidi="ar"/>
              </w:rPr>
              <w:t>X</w:t>
            </w:r>
          </w:p>
        </w:tc>
        <w:tc>
          <w:tcPr>
            <w:tcW w:w="3385"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紫外分光光度法</w:t>
            </w:r>
          </w:p>
        </w:tc>
        <w:tc>
          <w:tcPr>
            <w:tcW w:w="2275"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HJ/T42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Merge w:val="continue"/>
            <w:tcBorders>
              <w:tl2br w:val="nil"/>
              <w:tr2bl w:val="nil"/>
            </w:tcBorders>
            <w:vAlign w:val="center"/>
          </w:tcPr>
          <w:p>
            <w:pPr>
              <w:pStyle w:val="2"/>
              <w:jc w:val="center"/>
              <w:rPr>
                <w:rFonts w:hint="eastAsia" w:ascii="仿宋" w:hAnsi="仿宋" w:eastAsia="仿宋" w:cs="仿宋"/>
                <w:sz w:val="21"/>
                <w:szCs w:val="21"/>
              </w:rPr>
            </w:pPr>
          </w:p>
        </w:tc>
        <w:tc>
          <w:tcPr>
            <w:tcW w:w="2388"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颗粒物</w:t>
            </w:r>
          </w:p>
        </w:tc>
        <w:tc>
          <w:tcPr>
            <w:tcW w:w="3385"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重量法</w:t>
            </w:r>
          </w:p>
        </w:tc>
        <w:tc>
          <w:tcPr>
            <w:tcW w:w="2275"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bidi="ar"/>
              </w:rPr>
            </w:pPr>
            <w:r>
              <w:rPr>
                <w:rFonts w:hint="eastAsia" w:ascii="仿宋" w:hAnsi="仿宋" w:eastAsia="仿宋" w:cs="仿宋"/>
                <w:color w:val="000000"/>
                <w:kern w:val="0"/>
                <w:sz w:val="21"/>
                <w:szCs w:val="21"/>
                <w:lang w:bidi="ar"/>
              </w:rPr>
              <w:t>HJ/T12-1996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Merge w:val="continue"/>
            <w:tcBorders>
              <w:tl2br w:val="nil"/>
              <w:tr2bl w:val="nil"/>
            </w:tcBorders>
            <w:vAlign w:val="center"/>
          </w:tcPr>
          <w:p>
            <w:pPr>
              <w:pStyle w:val="2"/>
              <w:jc w:val="center"/>
              <w:rPr>
                <w:rFonts w:hint="eastAsia" w:ascii="仿宋" w:hAnsi="仿宋" w:eastAsia="仿宋" w:cs="仿宋"/>
                <w:sz w:val="21"/>
                <w:szCs w:val="21"/>
              </w:rPr>
            </w:pPr>
          </w:p>
        </w:tc>
        <w:tc>
          <w:tcPr>
            <w:tcW w:w="2388"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bidi="ar"/>
              </w:rPr>
            </w:pPr>
            <w:r>
              <w:rPr>
                <w:rFonts w:hint="eastAsia" w:ascii="仿宋" w:hAnsi="仿宋" w:eastAsia="仿宋" w:cs="仿宋"/>
                <w:sz w:val="21"/>
                <w:szCs w:val="21"/>
                <w:lang w:eastAsia="zh-CN" w:bidi="en-US"/>
              </w:rPr>
              <w:t>苯、</w:t>
            </w:r>
            <w:r>
              <w:rPr>
                <w:rFonts w:hint="eastAsia" w:ascii="仿宋" w:hAnsi="仿宋" w:eastAsia="仿宋" w:cs="仿宋"/>
                <w:sz w:val="21"/>
                <w:szCs w:val="21"/>
                <w:lang w:bidi="en-US"/>
              </w:rPr>
              <w:t>甲苯</w:t>
            </w:r>
            <w:r>
              <w:rPr>
                <w:rFonts w:hint="eastAsia" w:ascii="仿宋" w:hAnsi="仿宋" w:eastAsia="仿宋" w:cs="仿宋"/>
                <w:sz w:val="21"/>
                <w:szCs w:val="21"/>
                <w:lang w:eastAsia="zh-CN" w:bidi="en-US"/>
              </w:rPr>
              <w:t>、</w:t>
            </w:r>
            <w:r>
              <w:rPr>
                <w:rFonts w:hint="eastAsia" w:ascii="仿宋" w:hAnsi="仿宋" w:eastAsia="仿宋" w:cs="仿宋"/>
                <w:sz w:val="21"/>
                <w:szCs w:val="21"/>
                <w:lang w:bidi="en-US"/>
              </w:rPr>
              <w:t>二甲苯</w:t>
            </w:r>
          </w:p>
        </w:tc>
        <w:tc>
          <w:tcPr>
            <w:tcW w:w="3385"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eastAsia="zh-CN" w:bidi="ar"/>
              </w:rPr>
              <w:t>气相色谱法</w:t>
            </w:r>
          </w:p>
        </w:tc>
        <w:tc>
          <w:tcPr>
            <w:tcW w:w="2275" w:type="dxa"/>
            <w:tcBorders>
              <w:tl2br w:val="nil"/>
              <w:tr2bl w:val="nil"/>
            </w:tcBorders>
            <w:vAlign w:val="center"/>
          </w:tcPr>
          <w:p>
            <w:pPr>
              <w:widowControl/>
              <w:spacing w:line="240" w:lineRule="auto"/>
              <w:ind w:firstLine="0" w:firstLineChars="0"/>
              <w:jc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GB 11737-89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Merge w:val="continue"/>
            <w:tcBorders>
              <w:tl2br w:val="nil"/>
              <w:tr2bl w:val="nil"/>
            </w:tcBorders>
            <w:vAlign w:val="center"/>
          </w:tcPr>
          <w:p>
            <w:pPr>
              <w:pStyle w:val="2"/>
              <w:jc w:val="center"/>
              <w:rPr>
                <w:rFonts w:hint="eastAsia" w:ascii="仿宋" w:hAnsi="仿宋" w:eastAsia="仿宋" w:cs="仿宋"/>
                <w:sz w:val="21"/>
                <w:szCs w:val="21"/>
              </w:rPr>
            </w:pPr>
          </w:p>
        </w:tc>
        <w:tc>
          <w:tcPr>
            <w:tcW w:w="2388" w:type="dxa"/>
            <w:tcBorders>
              <w:tl2br w:val="nil"/>
              <w:tr2bl w:val="nil"/>
            </w:tcBorders>
            <w:vAlign w:val="center"/>
          </w:tcPr>
          <w:p>
            <w:pPr>
              <w:widowControl/>
              <w:spacing w:line="240" w:lineRule="auto"/>
              <w:ind w:firstLine="0" w:firstLineChars="0"/>
              <w:jc w:val="center"/>
              <w:rPr>
                <w:rFonts w:hint="eastAsia" w:ascii="仿宋" w:hAnsi="仿宋" w:eastAsia="仿宋" w:cs="仿宋"/>
                <w:sz w:val="21"/>
                <w:szCs w:val="21"/>
                <w:lang w:eastAsia="zh-CN" w:bidi="en-US"/>
              </w:rPr>
            </w:pPr>
            <w:r>
              <w:rPr>
                <w:rFonts w:hint="eastAsia" w:ascii="仿宋" w:hAnsi="仿宋" w:eastAsia="仿宋" w:cs="仿宋"/>
                <w:sz w:val="21"/>
                <w:szCs w:val="21"/>
                <w:lang w:eastAsia="zh-CN" w:bidi="en-US"/>
              </w:rPr>
              <w:t>非甲烷总烃</w:t>
            </w:r>
          </w:p>
        </w:tc>
        <w:tc>
          <w:tcPr>
            <w:tcW w:w="3385"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eastAsia="zh-CN" w:bidi="ar"/>
              </w:rPr>
              <w:t>气相色谱法</w:t>
            </w:r>
          </w:p>
        </w:tc>
        <w:tc>
          <w:tcPr>
            <w:tcW w:w="2275"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HJ 604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Merge w:val="restart"/>
            <w:tcBorders>
              <w:tl2br w:val="nil"/>
              <w:tr2bl w:val="nil"/>
            </w:tcBorders>
            <w:vAlign w:val="center"/>
          </w:tcPr>
          <w:p>
            <w:pPr>
              <w:pStyle w:val="2"/>
              <w:jc w:val="center"/>
              <w:rPr>
                <w:rFonts w:hint="eastAsia" w:ascii="仿宋" w:hAnsi="仿宋" w:eastAsia="仿宋" w:cs="仿宋"/>
                <w:sz w:val="21"/>
                <w:szCs w:val="21"/>
                <w:lang w:eastAsia="zh-CN"/>
              </w:rPr>
            </w:pPr>
            <w:r>
              <w:rPr>
                <w:rFonts w:hint="eastAsia" w:ascii="仿宋" w:hAnsi="仿宋" w:eastAsia="仿宋" w:cs="仿宋"/>
                <w:sz w:val="21"/>
                <w:szCs w:val="21"/>
                <w:lang w:eastAsia="zh-CN"/>
              </w:rPr>
              <w:t>生活污水</w:t>
            </w:r>
          </w:p>
        </w:tc>
        <w:tc>
          <w:tcPr>
            <w:tcW w:w="2388" w:type="dxa"/>
            <w:tcBorders>
              <w:tl2br w:val="nil"/>
              <w:tr2bl w:val="nil"/>
            </w:tcBorders>
            <w:vAlign w:val="center"/>
          </w:tcPr>
          <w:p>
            <w:pPr>
              <w:widowControl/>
              <w:spacing w:line="240" w:lineRule="auto"/>
              <w:ind w:firstLine="0" w:firstLineChars="0"/>
              <w:jc w:val="center"/>
              <w:rPr>
                <w:rFonts w:hint="default" w:ascii="仿宋" w:hAnsi="仿宋" w:eastAsia="仿宋" w:cs="仿宋"/>
                <w:sz w:val="21"/>
                <w:szCs w:val="21"/>
                <w:lang w:val="en-US" w:eastAsia="zh-CN" w:bidi="en-US"/>
              </w:rPr>
            </w:pPr>
            <w:r>
              <w:rPr>
                <w:rFonts w:hint="eastAsia" w:ascii="仿宋" w:hAnsi="仿宋" w:eastAsia="仿宋" w:cs="仿宋"/>
                <w:sz w:val="21"/>
                <w:szCs w:val="21"/>
                <w:lang w:val="en-US" w:eastAsia="zh-CN" w:bidi="en-US"/>
              </w:rPr>
              <w:t>PH</w:t>
            </w:r>
          </w:p>
        </w:tc>
        <w:tc>
          <w:tcPr>
            <w:tcW w:w="3385"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bidi="ar"/>
              </w:rPr>
              <w:t>玻璃电极法</w:t>
            </w:r>
          </w:p>
        </w:tc>
        <w:tc>
          <w:tcPr>
            <w:tcW w:w="2275" w:type="dxa"/>
            <w:tcBorders>
              <w:tl2br w:val="nil"/>
              <w:tr2bl w:val="nil"/>
            </w:tcBorders>
            <w:vAlign w:val="center"/>
          </w:tcPr>
          <w:p>
            <w:pPr>
              <w:widowControl/>
              <w:spacing w:line="240" w:lineRule="auto"/>
              <w:ind w:firstLine="0" w:firstLineChars="0"/>
              <w:jc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bidi="ar"/>
              </w:rPr>
              <w:t>GB/T</w:t>
            </w:r>
            <w:r>
              <w:rPr>
                <w:rFonts w:hint="eastAsia" w:ascii="仿宋" w:hAnsi="仿宋" w:eastAsia="仿宋" w:cs="仿宋"/>
                <w:color w:val="000000"/>
                <w:kern w:val="0"/>
                <w:sz w:val="21"/>
                <w:szCs w:val="21"/>
                <w:lang w:val="en-US" w:eastAsia="zh-CN" w:bidi="ar"/>
              </w:rPr>
              <w:t>6920-86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Merge w:val="continue"/>
            <w:tcBorders>
              <w:tl2br w:val="nil"/>
              <w:tr2bl w:val="nil"/>
            </w:tcBorders>
            <w:vAlign w:val="center"/>
          </w:tcPr>
          <w:p>
            <w:pPr>
              <w:pStyle w:val="2"/>
              <w:jc w:val="center"/>
              <w:rPr>
                <w:rFonts w:hint="eastAsia" w:ascii="仿宋" w:hAnsi="仿宋" w:eastAsia="仿宋" w:cs="仿宋"/>
                <w:sz w:val="21"/>
                <w:szCs w:val="21"/>
              </w:rPr>
            </w:pPr>
          </w:p>
        </w:tc>
        <w:tc>
          <w:tcPr>
            <w:tcW w:w="2388" w:type="dxa"/>
            <w:tcBorders>
              <w:tl2br w:val="nil"/>
              <w:tr2bl w:val="nil"/>
            </w:tcBorders>
            <w:vAlign w:val="center"/>
          </w:tcPr>
          <w:p>
            <w:pPr>
              <w:widowControl/>
              <w:spacing w:line="240" w:lineRule="auto"/>
              <w:ind w:firstLine="0" w:firstLineChars="0"/>
              <w:jc w:val="center"/>
              <w:rPr>
                <w:rFonts w:hint="eastAsia" w:ascii="仿宋" w:hAnsi="仿宋" w:eastAsia="仿宋" w:cs="仿宋"/>
                <w:sz w:val="21"/>
                <w:szCs w:val="21"/>
                <w:lang w:eastAsia="zh-CN" w:bidi="en-US"/>
              </w:rPr>
            </w:pPr>
            <w:r>
              <w:rPr>
                <w:rFonts w:hint="eastAsia" w:ascii="仿宋" w:hAnsi="仿宋" w:eastAsia="仿宋" w:cs="仿宋"/>
                <w:sz w:val="21"/>
                <w:szCs w:val="21"/>
                <w:lang w:eastAsia="zh-CN" w:bidi="en-US"/>
              </w:rPr>
              <w:t>石油类</w:t>
            </w:r>
          </w:p>
        </w:tc>
        <w:tc>
          <w:tcPr>
            <w:tcW w:w="3385"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eastAsia="zh-CN" w:bidi="ar"/>
              </w:rPr>
              <w:t>红</w:t>
            </w:r>
            <w:r>
              <w:rPr>
                <w:rFonts w:hint="eastAsia" w:ascii="仿宋" w:hAnsi="仿宋" w:eastAsia="仿宋" w:cs="仿宋"/>
                <w:color w:val="000000"/>
                <w:kern w:val="0"/>
                <w:sz w:val="21"/>
                <w:szCs w:val="21"/>
                <w:lang w:bidi="ar"/>
              </w:rPr>
              <w:t>外分光光度法</w:t>
            </w:r>
          </w:p>
        </w:tc>
        <w:tc>
          <w:tcPr>
            <w:tcW w:w="2275" w:type="dxa"/>
            <w:tcBorders>
              <w:tl2br w:val="nil"/>
              <w:tr2bl w:val="nil"/>
            </w:tcBorders>
            <w:vAlign w:val="center"/>
          </w:tcPr>
          <w:p>
            <w:pPr>
              <w:widowControl/>
              <w:spacing w:line="240" w:lineRule="auto"/>
              <w:ind w:firstLine="0" w:firstLineChars="0"/>
              <w:jc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HJ-637 2018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32" w:type="dxa"/>
            <w:vMerge w:val="continue"/>
            <w:tcBorders>
              <w:tl2br w:val="nil"/>
              <w:tr2bl w:val="nil"/>
            </w:tcBorders>
            <w:vAlign w:val="center"/>
          </w:tcPr>
          <w:p>
            <w:pPr>
              <w:pStyle w:val="2"/>
              <w:jc w:val="center"/>
              <w:rPr>
                <w:rFonts w:hint="eastAsia" w:ascii="仿宋" w:hAnsi="仿宋" w:eastAsia="仿宋" w:cs="仿宋"/>
                <w:sz w:val="21"/>
                <w:szCs w:val="21"/>
              </w:rPr>
            </w:pPr>
          </w:p>
        </w:tc>
        <w:tc>
          <w:tcPr>
            <w:tcW w:w="2388" w:type="dxa"/>
            <w:tcBorders>
              <w:tl2br w:val="nil"/>
              <w:tr2bl w:val="nil"/>
            </w:tcBorders>
            <w:vAlign w:val="center"/>
          </w:tcPr>
          <w:p>
            <w:pPr>
              <w:widowControl/>
              <w:spacing w:line="240" w:lineRule="auto"/>
              <w:ind w:firstLine="0" w:firstLineChars="0"/>
              <w:jc w:val="center"/>
              <w:rPr>
                <w:rFonts w:hint="default" w:ascii="仿宋" w:hAnsi="仿宋" w:eastAsia="仿宋" w:cs="仿宋"/>
                <w:sz w:val="21"/>
                <w:szCs w:val="21"/>
                <w:lang w:val="en-US" w:eastAsia="zh-CN" w:bidi="en-US"/>
              </w:rPr>
            </w:pPr>
            <w:r>
              <w:rPr>
                <w:rFonts w:hint="eastAsia" w:ascii="仿宋" w:hAnsi="仿宋" w:eastAsia="仿宋" w:cs="仿宋"/>
                <w:sz w:val="21"/>
                <w:szCs w:val="21"/>
                <w:lang w:val="en-US" w:eastAsia="zh-CN" w:bidi="en-US"/>
              </w:rPr>
              <w:t>COD</w:t>
            </w:r>
          </w:p>
        </w:tc>
        <w:tc>
          <w:tcPr>
            <w:tcW w:w="3385" w:type="dxa"/>
            <w:tcBorders>
              <w:tl2br w:val="nil"/>
              <w:tr2bl w:val="nil"/>
            </w:tcBorders>
            <w:vAlign w:val="center"/>
          </w:tcPr>
          <w:p>
            <w:pPr>
              <w:widowControl/>
              <w:spacing w:line="240" w:lineRule="auto"/>
              <w:ind w:firstLine="0" w:firstLineChars="0"/>
              <w:jc w:val="center"/>
              <w:rPr>
                <w:rFonts w:hint="eastAsia" w:ascii="仿宋" w:hAnsi="仿宋" w:eastAsia="仿宋" w:cs="仿宋"/>
                <w:color w:val="000000"/>
                <w:kern w:val="0"/>
                <w:sz w:val="21"/>
                <w:szCs w:val="21"/>
                <w:lang w:eastAsia="zh-CN" w:bidi="ar"/>
              </w:rPr>
            </w:pPr>
            <w:r>
              <w:rPr>
                <w:rFonts w:hint="eastAsia" w:ascii="仿宋" w:hAnsi="仿宋" w:eastAsia="仿宋" w:cs="仿宋"/>
                <w:color w:val="000000"/>
                <w:kern w:val="0"/>
                <w:sz w:val="21"/>
                <w:szCs w:val="21"/>
                <w:lang w:eastAsia="zh-CN" w:bidi="ar"/>
              </w:rPr>
              <w:t>重铬酸盐法</w:t>
            </w:r>
          </w:p>
        </w:tc>
        <w:tc>
          <w:tcPr>
            <w:tcW w:w="2275" w:type="dxa"/>
            <w:tcBorders>
              <w:tl2br w:val="nil"/>
              <w:tr2bl w:val="nil"/>
            </w:tcBorders>
            <w:vAlign w:val="center"/>
          </w:tcPr>
          <w:p>
            <w:pPr>
              <w:widowControl/>
              <w:spacing w:line="240" w:lineRule="auto"/>
              <w:ind w:firstLine="0" w:firstLineChars="0"/>
              <w:jc w:val="center"/>
              <w:rPr>
                <w:rFonts w:hint="default" w:ascii="仿宋" w:hAnsi="仿宋" w:eastAsia="仿宋" w:cs="仿宋"/>
                <w:color w:val="000000"/>
                <w:kern w:val="0"/>
                <w:sz w:val="21"/>
                <w:szCs w:val="21"/>
                <w:lang w:val="en-US" w:eastAsia="zh-CN" w:bidi="ar"/>
              </w:rPr>
            </w:pPr>
            <w:r>
              <w:rPr>
                <w:rFonts w:hint="eastAsia" w:ascii="仿宋" w:hAnsi="仿宋" w:eastAsia="仿宋" w:cs="仿宋"/>
                <w:color w:val="000000"/>
                <w:kern w:val="0"/>
                <w:sz w:val="21"/>
                <w:szCs w:val="21"/>
                <w:lang w:val="en-US" w:eastAsia="zh-CN" w:bidi="ar"/>
              </w:rPr>
              <w:t>HJ503 2009</w:t>
            </w:r>
          </w:p>
        </w:tc>
      </w:tr>
    </w:tbl>
    <w:p>
      <w:pPr>
        <w:pStyle w:val="124"/>
        <w:numPr>
          <w:ilvl w:val="0"/>
          <w:numId w:val="0"/>
        </w:numPr>
        <w:rPr>
          <w:rFonts w:hint="default"/>
          <w:lang w:val="en-US" w:eastAsia="zh-CN"/>
        </w:rPr>
      </w:pPr>
    </w:p>
    <w:p>
      <w:pPr>
        <w:pStyle w:val="124"/>
        <w:ind w:firstLine="0" w:firstLineChars="0"/>
      </w:pPr>
    </w:p>
    <w:p>
      <w:pPr>
        <w:pStyle w:val="43"/>
        <w:ind w:firstLine="883"/>
      </w:pPr>
      <w:bookmarkStart w:id="237" w:name="_Toc11995"/>
      <w:bookmarkStart w:id="238" w:name="_Toc505945730"/>
      <w:bookmarkStart w:id="239" w:name="_Toc11313"/>
      <w:bookmarkStart w:id="240" w:name="_Toc19511"/>
      <w:bookmarkStart w:id="241" w:name="_Toc1735"/>
      <w:r>
        <w:rPr>
          <w:rFonts w:hint="eastAsia"/>
        </w:rPr>
        <w:t>应急终止</w:t>
      </w:r>
      <w:bookmarkEnd w:id="233"/>
      <w:bookmarkEnd w:id="237"/>
      <w:bookmarkEnd w:id="238"/>
      <w:bookmarkEnd w:id="239"/>
      <w:bookmarkEnd w:id="240"/>
      <w:bookmarkEnd w:id="241"/>
    </w:p>
    <w:p>
      <w:pPr>
        <w:pStyle w:val="131"/>
      </w:pPr>
      <w:bookmarkStart w:id="242" w:name="_Toc505945731"/>
      <w:bookmarkStart w:id="243" w:name="_Toc18735"/>
      <w:bookmarkStart w:id="244" w:name="_Toc463949120"/>
      <w:bookmarkStart w:id="245" w:name="_Toc643"/>
      <w:r>
        <w:rPr>
          <w:rFonts w:hint="eastAsia"/>
        </w:rPr>
        <w:t>应急终止的条件</w:t>
      </w:r>
      <w:bookmarkEnd w:id="242"/>
      <w:bookmarkEnd w:id="243"/>
      <w:bookmarkEnd w:id="244"/>
      <w:bookmarkEnd w:id="245"/>
    </w:p>
    <w:p>
      <w:pPr>
        <w:pStyle w:val="124"/>
        <w:ind w:firstLine="560"/>
      </w:pPr>
      <w:r>
        <w:rPr>
          <w:rFonts w:hint="eastAsia"/>
        </w:rPr>
        <w:t>污染源被有效控制；污染物处置成稳定状态，已无危害；伤员被及时救护并送医院救治；其他人员撤离危险区；装置恢复正常状态；应急指挥部可宣布突发环境事件应急预案终止。</w:t>
      </w:r>
    </w:p>
    <w:p>
      <w:pPr>
        <w:pStyle w:val="124"/>
        <w:ind w:firstLine="560"/>
      </w:pPr>
      <w:r>
        <w:rPr>
          <w:rFonts w:hint="eastAsia"/>
        </w:rPr>
        <w:t>（1）环境事故现场得到有效控制，事故发生条件已解除（采取并将保持一切必要的防护措施，保护公众免受影响，使事故产生的后果降至最低限度）；</w:t>
      </w:r>
    </w:p>
    <w:p>
      <w:pPr>
        <w:pStyle w:val="124"/>
        <w:ind w:firstLine="560"/>
      </w:pPr>
      <w:r>
        <w:rPr>
          <w:rFonts w:hint="eastAsia"/>
        </w:rPr>
        <w:t>（2）污染源的泄漏或释放已降至规定限值以内；</w:t>
      </w:r>
    </w:p>
    <w:p>
      <w:pPr>
        <w:pStyle w:val="124"/>
        <w:ind w:firstLine="560"/>
      </w:pPr>
      <w:r>
        <w:rPr>
          <w:rFonts w:hint="eastAsia"/>
        </w:rPr>
        <w:t>（3）事件所造成的危害已经被彻底消除，无继发可能；</w:t>
      </w:r>
    </w:p>
    <w:p>
      <w:pPr>
        <w:pStyle w:val="124"/>
        <w:ind w:firstLine="560"/>
      </w:pPr>
      <w:r>
        <w:rPr>
          <w:rFonts w:hint="eastAsia"/>
        </w:rPr>
        <w:t>（4）事件现场的各种专业应急处置行动已无继续的必要；</w:t>
      </w:r>
    </w:p>
    <w:p>
      <w:pPr>
        <w:pStyle w:val="124"/>
        <w:ind w:firstLine="560"/>
      </w:pPr>
      <w:r>
        <w:rPr>
          <w:rFonts w:hint="eastAsia"/>
        </w:rPr>
        <w:t>（5）已采取必要的防护措施保护公众再次免受危害，并使事件可能引起的中长期影响趋于合理且尽量低的水平。</w:t>
      </w:r>
      <w:bookmarkStart w:id="246" w:name="_Toc241856831"/>
    </w:p>
    <w:bookmarkEnd w:id="246"/>
    <w:p>
      <w:pPr>
        <w:pStyle w:val="131"/>
      </w:pPr>
      <w:bookmarkStart w:id="247" w:name="_Toc22363"/>
      <w:bookmarkStart w:id="248" w:name="_Toc17645"/>
      <w:bookmarkStart w:id="249" w:name="_Toc505945732"/>
      <w:bookmarkStart w:id="250" w:name="_Toc463949121"/>
      <w:r>
        <w:rPr>
          <w:rFonts w:hint="eastAsia"/>
        </w:rPr>
        <w:t>应急终止的程序</w:t>
      </w:r>
      <w:bookmarkEnd w:id="247"/>
      <w:bookmarkEnd w:id="248"/>
      <w:bookmarkEnd w:id="249"/>
      <w:bookmarkEnd w:id="250"/>
    </w:p>
    <w:p>
      <w:pPr>
        <w:pStyle w:val="124"/>
        <w:ind w:firstLine="560"/>
      </w:pPr>
      <w:r>
        <w:rPr>
          <w:rFonts w:hint="eastAsia"/>
        </w:rPr>
        <w:t>（1）</w:t>
      </w:r>
      <w:r>
        <w:t>应急救援指挥</w:t>
      </w:r>
      <w:r>
        <w:rPr>
          <w:rFonts w:hint="eastAsia"/>
        </w:rPr>
        <w:t>办公室</w:t>
      </w:r>
      <w:r>
        <w:t>确认终止时间，经应急救援指挥部批准，通知现场应急救援指挥部应急终止</w:t>
      </w:r>
      <w:r>
        <w:rPr>
          <w:rFonts w:hint="eastAsia"/>
        </w:rPr>
        <w:t>；</w:t>
      </w:r>
    </w:p>
    <w:p>
      <w:pPr>
        <w:pStyle w:val="124"/>
        <w:ind w:firstLine="560"/>
      </w:pPr>
      <w:r>
        <w:rPr>
          <w:rFonts w:hint="eastAsia"/>
        </w:rPr>
        <w:t>（2）</w:t>
      </w:r>
      <w:r>
        <w:t>现场救援指挥部向所属各</w:t>
      </w:r>
      <w:r>
        <w:rPr>
          <w:rFonts w:hint="eastAsia"/>
        </w:rPr>
        <w:t>组</w:t>
      </w:r>
      <w:r>
        <w:t>应急救援队伍下达应急终止命令</w:t>
      </w:r>
      <w:r>
        <w:rPr>
          <w:rFonts w:hint="eastAsia"/>
        </w:rPr>
        <w:t>；</w:t>
      </w:r>
    </w:p>
    <w:p>
      <w:pPr>
        <w:pStyle w:val="124"/>
        <w:ind w:firstLine="560"/>
      </w:pPr>
      <w:r>
        <w:rPr>
          <w:rFonts w:hint="eastAsia"/>
        </w:rPr>
        <w:t>（3）</w:t>
      </w:r>
      <w:r>
        <w:t>应急状态终止后，相关类别环境事件专业应急指挥部应根据政府有关指示和实际情况，继续进行环境监测和评价工作，直至其他补救措施无须继续进行为止。</w:t>
      </w:r>
    </w:p>
    <w:p>
      <w:pPr>
        <w:pStyle w:val="131"/>
      </w:pPr>
      <w:bookmarkStart w:id="251" w:name="_Toc9502"/>
      <w:bookmarkStart w:id="252" w:name="_Toc505945733"/>
      <w:bookmarkStart w:id="253" w:name="_Toc463949122"/>
      <w:bookmarkStart w:id="254" w:name="_Toc19707"/>
      <w:r>
        <w:rPr>
          <w:rFonts w:hint="eastAsia"/>
        </w:rPr>
        <w:t>应急终止后环境监测</w:t>
      </w:r>
      <w:bookmarkEnd w:id="251"/>
      <w:bookmarkEnd w:id="252"/>
      <w:bookmarkEnd w:id="253"/>
      <w:bookmarkEnd w:id="254"/>
    </w:p>
    <w:p>
      <w:pPr>
        <w:pStyle w:val="124"/>
        <w:ind w:firstLine="560"/>
      </w:pPr>
      <w:r>
        <w:rPr>
          <w:rFonts w:hint="eastAsia"/>
        </w:rPr>
        <w:t>应急状态终止后，本公司应急指挥部根据润滑油和天然气泄漏、火灾爆炸事故等相关类别环境事件，委托应急监测相关部门继续进行环境监测和评价工作，直至其他补救措施无需继续进行为止。</w:t>
      </w:r>
    </w:p>
    <w:p>
      <w:pPr>
        <w:pStyle w:val="131"/>
      </w:pPr>
      <w:bookmarkStart w:id="255" w:name="_Toc10395"/>
      <w:bookmarkStart w:id="256" w:name="_Toc463949123"/>
      <w:bookmarkStart w:id="257" w:name="_Toc505945734"/>
      <w:bookmarkStart w:id="258" w:name="_Toc10675"/>
      <w:r>
        <w:rPr>
          <w:rFonts w:hint="eastAsia"/>
        </w:rPr>
        <w:t>应急终止后的行动</w:t>
      </w:r>
      <w:bookmarkEnd w:id="255"/>
      <w:bookmarkEnd w:id="256"/>
      <w:bookmarkEnd w:id="257"/>
      <w:bookmarkEnd w:id="258"/>
    </w:p>
    <w:p>
      <w:pPr>
        <w:pStyle w:val="124"/>
        <w:ind w:firstLine="560"/>
      </w:pPr>
      <w:r>
        <w:rPr>
          <w:rFonts w:hint="eastAsia"/>
        </w:rPr>
        <w:t>（1）由应急指挥机构负责通知公司各办公室、车间以及附近周边企业、居民危险事故已经得到解除；</w:t>
      </w:r>
    </w:p>
    <w:p>
      <w:pPr>
        <w:pStyle w:val="124"/>
        <w:ind w:firstLine="560"/>
      </w:pPr>
      <w:r>
        <w:rPr>
          <w:rFonts w:hint="eastAsia"/>
        </w:rPr>
        <w:t>（2）对现场中暴露的工作人员、应急行动人员和受污染设备进行清洁净化；</w:t>
      </w:r>
    </w:p>
    <w:p>
      <w:pPr>
        <w:pStyle w:val="124"/>
        <w:ind w:firstLine="560"/>
      </w:pPr>
      <w:r>
        <w:rPr>
          <w:rFonts w:hint="eastAsia"/>
        </w:rPr>
        <w:t>（3）由应急指挥机构负责对于此次发生的环境事故，对起因、经过和结果向公司负责人以及相关部门做详细报告；</w:t>
      </w:r>
    </w:p>
    <w:p>
      <w:pPr>
        <w:pStyle w:val="124"/>
        <w:ind w:firstLine="560"/>
      </w:pPr>
      <w:r>
        <w:rPr>
          <w:rFonts w:hint="eastAsia"/>
        </w:rPr>
        <w:t>（4）全力配合事件调查小组，提供事故详细情况、相关情况的说明以及各监测数据等，并查明事故原因，调查事故造成的损失，明确责任；</w:t>
      </w:r>
    </w:p>
    <w:p>
      <w:pPr>
        <w:pStyle w:val="124"/>
        <w:ind w:firstLine="560"/>
      </w:pPr>
      <w:r>
        <w:rPr>
          <w:rFonts w:hint="eastAsia"/>
        </w:rPr>
        <w:t>（5）对整个环境应急过程评价；并对环境应急救援工作进行总结，并向公司领导汇报；</w:t>
      </w:r>
    </w:p>
    <w:p>
      <w:pPr>
        <w:pStyle w:val="124"/>
        <w:ind w:firstLine="560"/>
      </w:pPr>
      <w:r>
        <w:rPr>
          <w:rFonts w:hint="eastAsia"/>
        </w:rPr>
        <w:t>（6）针对此次突发环境事件，总结经验教训，并对突发环境事件应急预案进行修订；</w:t>
      </w:r>
    </w:p>
    <w:p>
      <w:pPr>
        <w:pStyle w:val="124"/>
        <w:ind w:firstLine="560"/>
      </w:pPr>
      <w:r>
        <w:rPr>
          <w:rFonts w:hint="eastAsia"/>
        </w:rPr>
        <w:t>（7）由各相关负责人对应急仪器、设备进行维护、保养；</w:t>
      </w:r>
    </w:p>
    <w:p>
      <w:pPr>
        <w:pStyle w:val="124"/>
        <w:ind w:firstLine="560"/>
      </w:pPr>
      <w:r>
        <w:rPr>
          <w:rFonts w:hint="eastAsia"/>
        </w:rPr>
        <w:t>（8）</w:t>
      </w:r>
      <w:r>
        <w:t>应急行动结束后，对现场中暴露的工作人员进行妥善安排</w:t>
      </w:r>
      <w:r>
        <w:rPr>
          <w:rFonts w:hint="eastAsia"/>
        </w:rPr>
        <w:t>；</w:t>
      </w:r>
    </w:p>
    <w:p>
      <w:pPr>
        <w:pStyle w:val="124"/>
        <w:ind w:firstLine="560"/>
      </w:pPr>
      <w:r>
        <w:rPr>
          <w:rFonts w:hint="eastAsia"/>
        </w:rPr>
        <w:t>（9）</w:t>
      </w:r>
      <w:r>
        <w:fldChar w:fldCharType="begin"/>
      </w:r>
      <w:r>
        <w:instrText xml:space="preserve"> HYPERLINK "http://www.hbsafety.cn/article/33/" \t "_blank" </w:instrText>
      </w:r>
      <w:r>
        <w:fldChar w:fldCharType="separate"/>
      </w:r>
      <w:r>
        <w:rPr>
          <w:rFonts w:hint="eastAsia"/>
        </w:rPr>
        <w:t>事故</w:t>
      </w:r>
      <w:r>
        <w:rPr>
          <w:rFonts w:hint="eastAsia"/>
        </w:rPr>
        <w:fldChar w:fldCharType="end"/>
      </w:r>
      <w:r>
        <w:rPr>
          <w:rFonts w:hint="eastAsia"/>
        </w:rPr>
        <w:t>现场得以控制，环境符合有关标准，导致次生、衍生</w:t>
      </w:r>
      <w:r>
        <w:fldChar w:fldCharType="begin"/>
      </w:r>
      <w:r>
        <w:instrText xml:space="preserve"> HYPERLINK "http://www.hbsafety.cn/article/33/" \t "_blank" </w:instrText>
      </w:r>
      <w:r>
        <w:fldChar w:fldCharType="separate"/>
      </w:r>
      <w:r>
        <w:rPr>
          <w:rFonts w:hint="eastAsia"/>
        </w:rPr>
        <w:t>事故</w:t>
      </w:r>
      <w:r>
        <w:rPr>
          <w:rFonts w:hint="eastAsia"/>
        </w:rPr>
        <w:fldChar w:fldCharType="end"/>
      </w:r>
      <w:r>
        <w:rPr>
          <w:rFonts w:hint="eastAsia"/>
        </w:rPr>
        <w:t>隐患消除后，经应急总指挥确认和批准，现场应急处置工作结束，</w:t>
      </w:r>
      <w:r>
        <w:fldChar w:fldCharType="begin"/>
      </w:r>
      <w:r>
        <w:instrText xml:space="preserve"> HYPERLINK "http://www.hbsafety.cn/article/73/" \t "_blank" </w:instrText>
      </w:r>
      <w:r>
        <w:fldChar w:fldCharType="separate"/>
      </w:r>
      <w:r>
        <w:rPr>
          <w:rFonts w:hint="eastAsia"/>
        </w:rPr>
        <w:t>应急救援</w:t>
      </w:r>
      <w:r>
        <w:rPr>
          <w:rFonts w:hint="eastAsia"/>
        </w:rPr>
        <w:fldChar w:fldCharType="end"/>
      </w:r>
      <w:r>
        <w:rPr>
          <w:rFonts w:hint="eastAsia"/>
        </w:rPr>
        <w:t>队伍撤离现场。</w:t>
      </w:r>
    </w:p>
    <w:p>
      <w:pPr>
        <w:pStyle w:val="124"/>
        <w:ind w:firstLine="560"/>
      </w:pPr>
      <w:r>
        <w:rPr>
          <w:rFonts w:hint="eastAsia"/>
        </w:rPr>
        <w:t>（10）事故应急救援工作总结报告</w:t>
      </w:r>
    </w:p>
    <w:p>
      <w:pPr>
        <w:pStyle w:val="124"/>
        <w:ind w:firstLine="560"/>
      </w:pPr>
      <w:r>
        <w:rPr>
          <w:rFonts w:hint="eastAsia"/>
        </w:rPr>
        <w:t>应急结束后，由公司部长协同车间主任对应急救援预案计划、演练和组织实施等工作进行总结、评比。事故单位应认真分析</w:t>
      </w:r>
      <w:r>
        <w:fldChar w:fldCharType="begin"/>
      </w:r>
      <w:r>
        <w:instrText xml:space="preserve"> HYPERLINK "http://www.hbsafety.cn/article/33/" \t "_blank" </w:instrText>
      </w:r>
      <w:r>
        <w:fldChar w:fldCharType="separate"/>
      </w:r>
      <w:r>
        <w:rPr>
          <w:rFonts w:hint="eastAsia"/>
        </w:rPr>
        <w:t>事故</w:t>
      </w:r>
      <w:r>
        <w:rPr>
          <w:rFonts w:hint="eastAsia"/>
        </w:rPr>
        <w:fldChar w:fldCharType="end"/>
      </w:r>
      <w:r>
        <w:rPr>
          <w:rFonts w:hint="eastAsia"/>
        </w:rPr>
        <w:t>原因，深刻吸取</w:t>
      </w:r>
      <w:r>
        <w:fldChar w:fldCharType="begin"/>
      </w:r>
      <w:r>
        <w:instrText xml:space="preserve"> HYPERLINK "http://www.hbsafety.cn/article/33/" \t "_blank" </w:instrText>
      </w:r>
      <w:r>
        <w:fldChar w:fldCharType="separate"/>
      </w:r>
      <w:r>
        <w:rPr>
          <w:rFonts w:hint="eastAsia"/>
        </w:rPr>
        <w:t>事故</w:t>
      </w:r>
      <w:r>
        <w:rPr>
          <w:rFonts w:hint="eastAsia"/>
        </w:rPr>
        <w:fldChar w:fldCharType="end"/>
      </w:r>
      <w:r>
        <w:rPr>
          <w:rFonts w:hint="eastAsia"/>
        </w:rPr>
        <w:t>教训，加强</w:t>
      </w:r>
      <w:r>
        <w:fldChar w:fldCharType="begin"/>
      </w:r>
      <w:r>
        <w:instrText xml:space="preserve"> HYPERLINK "http://www.hbsafety.cn/article/12/" \t "_blank" </w:instrText>
      </w:r>
      <w:r>
        <w:fldChar w:fldCharType="separate"/>
      </w:r>
      <w:r>
        <w:rPr>
          <w:rFonts w:hint="eastAsia"/>
        </w:rPr>
        <w:t>安全管理</w:t>
      </w:r>
      <w:r>
        <w:rPr>
          <w:rFonts w:hint="eastAsia"/>
        </w:rPr>
        <w:fldChar w:fldCharType="end"/>
      </w:r>
      <w:r>
        <w:rPr>
          <w:rFonts w:hint="eastAsia"/>
        </w:rPr>
        <w:t>，加大安全投入，认真落实安全生产责任制，在恢复生产过程中制定安全措施，防止</w:t>
      </w:r>
      <w:r>
        <w:fldChar w:fldCharType="begin"/>
      </w:r>
      <w:r>
        <w:instrText xml:space="preserve"> HYPERLINK "http://www.hbsafety.cn/article/33/" \t "_blank" </w:instrText>
      </w:r>
      <w:r>
        <w:fldChar w:fldCharType="separate"/>
      </w:r>
      <w:r>
        <w:rPr>
          <w:rFonts w:hint="eastAsia"/>
        </w:rPr>
        <w:t>事故</w:t>
      </w:r>
      <w:r>
        <w:rPr>
          <w:rFonts w:hint="eastAsia"/>
        </w:rPr>
        <w:fldChar w:fldCharType="end"/>
      </w:r>
      <w:r>
        <w:rPr>
          <w:rFonts w:hint="eastAsia"/>
        </w:rPr>
        <w:t>发生。</w:t>
      </w:r>
    </w:p>
    <w:p>
      <w:pPr>
        <w:pStyle w:val="43"/>
        <w:ind w:firstLine="883"/>
      </w:pPr>
      <w:bookmarkStart w:id="259" w:name="_Toc25218"/>
      <w:bookmarkStart w:id="260" w:name="_Toc3657"/>
      <w:bookmarkStart w:id="261" w:name="_Toc21838"/>
      <w:bookmarkStart w:id="262" w:name="_Toc505945735"/>
      <w:bookmarkStart w:id="263" w:name="_Toc18097"/>
      <w:bookmarkStart w:id="264" w:name="_Toc463949124"/>
      <w:r>
        <w:rPr>
          <w:rFonts w:hint="eastAsia"/>
        </w:rPr>
        <w:t>后期处置</w:t>
      </w:r>
      <w:bookmarkEnd w:id="259"/>
      <w:bookmarkEnd w:id="260"/>
      <w:bookmarkEnd w:id="261"/>
      <w:bookmarkEnd w:id="262"/>
      <w:bookmarkEnd w:id="263"/>
      <w:bookmarkEnd w:id="264"/>
    </w:p>
    <w:p>
      <w:pPr>
        <w:pStyle w:val="131"/>
      </w:pPr>
      <w:bookmarkStart w:id="265" w:name="_Toc463949125"/>
      <w:bookmarkStart w:id="266" w:name="_Toc505945736"/>
      <w:bookmarkStart w:id="267" w:name="_Toc5559"/>
      <w:bookmarkStart w:id="268" w:name="_Toc32688"/>
      <w:r>
        <w:rPr>
          <w:rFonts w:hint="eastAsia"/>
        </w:rPr>
        <w:t>善后处</w:t>
      </w:r>
      <w:bookmarkEnd w:id="265"/>
      <w:r>
        <w:rPr>
          <w:rFonts w:hint="eastAsia"/>
        </w:rPr>
        <w:t>理</w:t>
      </w:r>
      <w:bookmarkEnd w:id="266"/>
      <w:bookmarkEnd w:id="267"/>
      <w:bookmarkEnd w:id="268"/>
    </w:p>
    <w:p>
      <w:pPr>
        <w:pStyle w:val="124"/>
        <w:ind w:firstLine="560"/>
      </w:pPr>
      <w:r>
        <w:rPr>
          <w:rFonts w:hint="eastAsia"/>
        </w:rPr>
        <w:t>突发环境事件发生后，</w:t>
      </w:r>
      <w:r>
        <w:t>根据政府部门的意见和结合自身情况对事件后的现场和周围环境进行清洁与恢复，</w:t>
      </w:r>
      <w:r>
        <w:rPr>
          <w:rFonts w:hint="eastAsia"/>
        </w:rPr>
        <w:t>要做好受污染区域内群众的思想工作，安定群众情绪，并尽快开展善后处置工作。</w:t>
      </w:r>
      <w:r>
        <w:t>必要时可请求政府部门的帮助。</w:t>
      </w:r>
    </w:p>
    <w:p>
      <w:pPr>
        <w:pStyle w:val="124"/>
        <w:ind w:firstLine="560"/>
      </w:pPr>
      <w:r>
        <w:rPr>
          <w:rFonts w:hint="eastAsia"/>
        </w:rPr>
        <w:t>（1）配合政府相关部门做好事故的善后工作;</w:t>
      </w:r>
    </w:p>
    <w:p>
      <w:pPr>
        <w:pStyle w:val="124"/>
        <w:ind w:firstLine="560"/>
      </w:pPr>
      <w:r>
        <w:rPr>
          <w:rFonts w:hint="eastAsia"/>
        </w:rPr>
        <w:t>（2）</w:t>
      </w:r>
      <w:r>
        <w:t>应急终止后对现场污染物进行后续处理，对应急仪器设备进行维护、保养，恢复企业设备（施）的正常运转，进行撤点、撤离和交接程序，逐步恢复企业的正常生产秩序。</w:t>
      </w:r>
    </w:p>
    <w:p>
      <w:pPr>
        <w:pStyle w:val="124"/>
        <w:ind w:firstLine="560"/>
      </w:pPr>
      <w:r>
        <w:rPr>
          <w:rFonts w:hint="eastAsia"/>
        </w:rPr>
        <w:t>（3）安置受灾人员，并按实际情况合理赔偿受灾人员的损失;</w:t>
      </w:r>
    </w:p>
    <w:p>
      <w:pPr>
        <w:pStyle w:val="124"/>
        <w:ind w:firstLine="560"/>
      </w:pPr>
      <w:r>
        <w:rPr>
          <w:rFonts w:hint="eastAsia"/>
        </w:rPr>
        <w:t>（4）组织有关部门分析事故原因，汲取事故教训，指挥部将事故情况进行登记、整理和存档。</w:t>
      </w:r>
    </w:p>
    <w:p>
      <w:pPr>
        <w:pStyle w:val="124"/>
        <w:ind w:firstLine="560"/>
      </w:pPr>
      <w:r>
        <w:rPr>
          <w:rFonts w:hint="eastAsia"/>
        </w:rPr>
        <w:t>（5）做好突发环境事件记录和突发环境事件后的交接工作，制订切实可行的防范措施，防止类似事故发生。</w:t>
      </w:r>
    </w:p>
    <w:p>
      <w:pPr>
        <w:pStyle w:val="124"/>
        <w:ind w:firstLine="560"/>
      </w:pPr>
      <w:r>
        <w:rPr>
          <w:rFonts w:hint="eastAsia"/>
        </w:rPr>
        <w:t>（6）完成突发环境事件的善后处置、人员安置工作后，应安排生产秩序恢复事宜。应急终止后企业负责人制定生产秩序恢复计划，在按计划逐步恢复生产秩序。</w:t>
      </w:r>
    </w:p>
    <w:p>
      <w:pPr>
        <w:pStyle w:val="131"/>
      </w:pPr>
      <w:bookmarkStart w:id="269" w:name="_Toc413"/>
      <w:bookmarkStart w:id="270" w:name="_Toc505945737"/>
      <w:bookmarkStart w:id="271" w:name="_Toc31564"/>
      <w:r>
        <w:rPr>
          <w:rFonts w:hint="eastAsia"/>
        </w:rPr>
        <w:t>生产</w:t>
      </w:r>
      <w:r>
        <w:t>秩序恢复</w:t>
      </w:r>
      <w:bookmarkEnd w:id="269"/>
      <w:bookmarkEnd w:id="270"/>
      <w:bookmarkEnd w:id="271"/>
    </w:p>
    <w:p>
      <w:pPr>
        <w:pStyle w:val="124"/>
        <w:ind w:firstLine="560"/>
      </w:pPr>
      <w:r>
        <w:rPr>
          <w:rFonts w:hint="eastAsia"/>
        </w:rPr>
        <w:t>完成突发环境事件的善后处置、人员安置工作后，应安排生产秩序恢复事宜。应急终止后企业负责人制定生产秩序恢复计划，在按计划逐步恢复生产秩序。</w:t>
      </w:r>
    </w:p>
    <w:p>
      <w:pPr>
        <w:pStyle w:val="131"/>
      </w:pPr>
      <w:bookmarkStart w:id="272" w:name="_Toc505945738"/>
      <w:bookmarkStart w:id="273" w:name="_Toc22114"/>
      <w:bookmarkStart w:id="274" w:name="_Toc17566"/>
      <w:bookmarkStart w:id="275" w:name="_Toc463949126"/>
      <w:r>
        <w:rPr>
          <w:rFonts w:hint="eastAsia"/>
        </w:rPr>
        <w:t>清洁</w:t>
      </w:r>
      <w:r>
        <w:t>净化</w:t>
      </w:r>
      <w:bookmarkEnd w:id="272"/>
      <w:bookmarkEnd w:id="273"/>
      <w:bookmarkEnd w:id="274"/>
    </w:p>
    <w:p>
      <w:pPr>
        <w:pStyle w:val="124"/>
        <w:ind w:firstLine="560"/>
      </w:pPr>
      <w:r>
        <w:rPr>
          <w:rFonts w:hint="eastAsia"/>
        </w:rPr>
        <w:t>当润滑油</w:t>
      </w:r>
      <w:r>
        <w:t>发生</w:t>
      </w:r>
      <w:r>
        <w:rPr>
          <w:rFonts w:hint="eastAsia"/>
        </w:rPr>
        <w:t>泄漏</w:t>
      </w:r>
      <w:r>
        <w:t>后，</w:t>
      </w:r>
      <w:r>
        <w:rPr>
          <w:rFonts w:hint="eastAsia"/>
        </w:rPr>
        <w:t>现场用沙土围堤，回收物料，避免流入下水道等密闭系统；不得用水冲洗地面，防止污染区域扩大；可通过控制泄漏源来消除润滑油的溢出或泄漏；现场泄漏物应及时进行覆盖、收容和稀释、使泄漏物得到安全可靠的处理。</w:t>
      </w:r>
    </w:p>
    <w:p>
      <w:pPr>
        <w:pStyle w:val="131"/>
      </w:pPr>
      <w:bookmarkStart w:id="276" w:name="_Toc505945739"/>
      <w:bookmarkStart w:id="277" w:name="_Toc26466"/>
      <w:bookmarkStart w:id="278" w:name="_Toc29029"/>
      <w:r>
        <w:rPr>
          <w:rFonts w:hint="eastAsia"/>
        </w:rPr>
        <w:t>环境</w:t>
      </w:r>
      <w:r>
        <w:t>恢复</w:t>
      </w:r>
      <w:bookmarkEnd w:id="276"/>
      <w:bookmarkEnd w:id="277"/>
      <w:bookmarkEnd w:id="278"/>
    </w:p>
    <w:p>
      <w:pPr>
        <w:pStyle w:val="124"/>
        <w:ind w:firstLine="560"/>
      </w:pPr>
      <w:r>
        <w:rPr>
          <w:rFonts w:hint="eastAsia"/>
        </w:rPr>
        <w:t>组织有关专家对受灾范围进行科学评估，提出补救和对遭受破坏的生态环境进行恢复的建议。</w:t>
      </w:r>
    </w:p>
    <w:p>
      <w:pPr>
        <w:pStyle w:val="124"/>
        <w:ind w:firstLine="560"/>
      </w:pPr>
      <w:r>
        <w:rPr>
          <w:rFonts w:hint="eastAsia"/>
        </w:rPr>
        <w:t>应急终止后，总指挥及企业负责人组织相关人员到现场勘查，对事故地的现场及厂区周围的空气环境、生态环境等进行调查，组织专家提出对生态环境恢复的措施和方案，恢复周边生态环境，加强生态环境治理措施，确保在一定期限内恢复生态环境平衡。</w:t>
      </w:r>
    </w:p>
    <w:p>
      <w:pPr>
        <w:pStyle w:val="131"/>
      </w:pPr>
      <w:bookmarkStart w:id="279" w:name="_Toc11273"/>
      <w:bookmarkStart w:id="280" w:name="_Toc15335"/>
      <w:bookmarkStart w:id="281" w:name="_Toc505945740"/>
      <w:r>
        <w:rPr>
          <w:rFonts w:hint="eastAsia"/>
        </w:rPr>
        <w:t>评估与总结</w:t>
      </w:r>
      <w:bookmarkEnd w:id="275"/>
      <w:bookmarkEnd w:id="279"/>
      <w:bookmarkEnd w:id="280"/>
      <w:bookmarkEnd w:id="281"/>
    </w:p>
    <w:p>
      <w:pPr>
        <w:pStyle w:val="124"/>
        <w:ind w:firstLine="560"/>
        <w:rPr>
          <w:sz w:val="21"/>
          <w:szCs w:val="21"/>
        </w:rPr>
      </w:pPr>
      <w:r>
        <w:t>应急终止后</w:t>
      </w:r>
      <w:r>
        <w:rPr>
          <w:rFonts w:hint="eastAsia"/>
        </w:rPr>
        <w:t>组织内部专家对突发环境事件中长期环境影响进行评估，</w:t>
      </w:r>
      <w:r>
        <w:t>编制应急总结报告，提出修订应急预案建议</w:t>
      </w:r>
      <w:r>
        <w:rPr>
          <w:rFonts w:hint="eastAsia"/>
        </w:rPr>
        <w:t>，在相关部门的监管下，对受污染生态环境进行恢复。</w:t>
      </w:r>
    </w:p>
    <w:p>
      <w:pPr>
        <w:pStyle w:val="124"/>
        <w:ind w:firstLine="560"/>
      </w:pPr>
      <w:r>
        <w:rPr>
          <w:rFonts w:hint="eastAsia" w:cs="Times New Roman"/>
        </w:rPr>
        <w:t>评估工作包括</w:t>
      </w:r>
      <w:r>
        <w:rPr>
          <w:rFonts w:hint="eastAsia"/>
        </w:rPr>
        <w:t>对环境保护目标影响的后评价及提出整改意见。</w:t>
      </w:r>
    </w:p>
    <w:p>
      <w:pPr>
        <w:pStyle w:val="131"/>
      </w:pPr>
      <w:bookmarkStart w:id="282" w:name="_Toc505945741"/>
      <w:bookmarkStart w:id="283" w:name="_Toc18300"/>
      <w:bookmarkStart w:id="284" w:name="_Toc26530"/>
      <w:r>
        <w:rPr>
          <w:rFonts w:hint="eastAsia"/>
        </w:rPr>
        <w:t>保险</w:t>
      </w:r>
      <w:bookmarkEnd w:id="282"/>
      <w:bookmarkEnd w:id="283"/>
      <w:bookmarkEnd w:id="284"/>
    </w:p>
    <w:p>
      <w:pPr>
        <w:pStyle w:val="124"/>
        <w:ind w:firstLine="560"/>
      </w:pPr>
      <w:r>
        <w:rPr>
          <w:rFonts w:hint="eastAsia"/>
        </w:rPr>
        <w:t>我公司为员工办理了工伤保险。发生重大环境事故后，受伤人员应当视为工伤，享受工伤保险，在救援时收到意外伤害的，同样享受意外伤害保险。</w:t>
      </w:r>
    </w:p>
    <w:p>
      <w:pPr>
        <w:pStyle w:val="43"/>
        <w:ind w:firstLine="883"/>
      </w:pPr>
      <w:bookmarkStart w:id="285" w:name="_Toc9977"/>
      <w:bookmarkStart w:id="286" w:name="_Toc463949139"/>
      <w:bookmarkStart w:id="287" w:name="_Toc13374"/>
      <w:bookmarkStart w:id="288" w:name="_Toc27201"/>
      <w:bookmarkStart w:id="289" w:name="_Toc505945742"/>
      <w:bookmarkStart w:id="290" w:name="_Toc31500"/>
      <w:bookmarkStart w:id="291" w:name="_Toc463949127"/>
      <w:r>
        <w:rPr>
          <w:rFonts w:hint="eastAsia"/>
        </w:rPr>
        <w:t>预案管理</w:t>
      </w:r>
      <w:bookmarkEnd w:id="285"/>
      <w:bookmarkEnd w:id="286"/>
      <w:bookmarkEnd w:id="287"/>
      <w:bookmarkEnd w:id="288"/>
      <w:bookmarkEnd w:id="289"/>
      <w:bookmarkEnd w:id="290"/>
    </w:p>
    <w:p>
      <w:pPr>
        <w:pStyle w:val="131"/>
      </w:pPr>
      <w:bookmarkStart w:id="292" w:name="_Toc505945743"/>
      <w:bookmarkStart w:id="293" w:name="_Toc13444"/>
      <w:bookmarkStart w:id="294" w:name="_Toc20115"/>
      <w:bookmarkStart w:id="295" w:name="_Toc463949140"/>
      <w:r>
        <w:rPr>
          <w:rFonts w:hint="eastAsia"/>
        </w:rPr>
        <w:t>宣教培训</w:t>
      </w:r>
      <w:bookmarkEnd w:id="292"/>
      <w:bookmarkEnd w:id="293"/>
      <w:bookmarkEnd w:id="294"/>
      <w:bookmarkEnd w:id="295"/>
    </w:p>
    <w:p>
      <w:pPr>
        <w:pStyle w:val="124"/>
        <w:ind w:firstLine="560"/>
      </w:pPr>
      <w:r>
        <w:rPr>
          <w:rFonts w:hint="eastAsia"/>
        </w:rPr>
        <w:t>基本应急培训是指对参与应急行动所有相关人员进行的最低程序的应急培训，要求应急人员了解和掌握如何识别危险、如何采取必要的应急措施、如何启动紧急警报系统、如何安全疏散人群等基本操作，尤其是环境污染突发事故火灾应急培训以及危险物质事故应急的培训，因为火灾和危险品事故是常见的事故类型。因此，培训中要加强与灭火操作有关的训练，强调危险物质事故的不同应急水平和注意事项等内容。</w:t>
      </w:r>
      <w:bookmarkStart w:id="296" w:name="_Toc241856866"/>
    </w:p>
    <w:p>
      <w:pPr>
        <w:pStyle w:val="124"/>
        <w:ind w:firstLine="560"/>
      </w:pPr>
      <w:r>
        <w:rPr>
          <w:rFonts w:hint="eastAsia"/>
        </w:rPr>
        <w:t>本公司未就环境风险及应急救援等相关内容对厂区内工作人员进行宣传及培训，因此，本预案现对公司提出以下环境风险及应急救援宣教培训要求。</w:t>
      </w:r>
    </w:p>
    <w:bookmarkEnd w:id="296"/>
    <w:p>
      <w:pPr>
        <w:pStyle w:val="132"/>
      </w:pPr>
      <w:bookmarkStart w:id="297" w:name="_Toc9263"/>
      <w:bookmarkStart w:id="298" w:name="_Toc505945744"/>
      <w:bookmarkStart w:id="299" w:name="_Toc399770058"/>
      <w:bookmarkStart w:id="300" w:name="_Toc463949141"/>
      <w:bookmarkStart w:id="301" w:name="_Toc864"/>
      <w:r>
        <w:rPr>
          <w:rFonts w:hint="eastAsia"/>
        </w:rPr>
        <w:t>应急救援人员的专业培训内容和方法</w:t>
      </w:r>
      <w:bookmarkEnd w:id="297"/>
      <w:bookmarkEnd w:id="298"/>
      <w:bookmarkEnd w:id="299"/>
      <w:bookmarkEnd w:id="300"/>
      <w:bookmarkEnd w:id="301"/>
    </w:p>
    <w:p>
      <w:pPr>
        <w:pStyle w:val="124"/>
        <w:ind w:firstLine="560"/>
      </w:pPr>
      <w:bookmarkStart w:id="302" w:name="_Toc244838221"/>
      <w:bookmarkStart w:id="303" w:name="_Toc253307724"/>
      <w:bookmarkStart w:id="304" w:name="_Toc241856868"/>
      <w:r>
        <w:rPr>
          <w:rFonts w:hint="eastAsia"/>
        </w:rPr>
        <w:t>a）如何识别危险；</w:t>
      </w:r>
    </w:p>
    <w:p>
      <w:pPr>
        <w:pStyle w:val="124"/>
        <w:ind w:firstLine="560"/>
      </w:pPr>
      <w:r>
        <w:rPr>
          <w:rFonts w:hint="eastAsia"/>
        </w:rPr>
        <w:t>b）如何启动紧急警报系统；</w:t>
      </w:r>
    </w:p>
    <w:p>
      <w:pPr>
        <w:pStyle w:val="124"/>
        <w:ind w:firstLine="560"/>
      </w:pPr>
      <w:r>
        <w:rPr>
          <w:rFonts w:hint="eastAsia"/>
        </w:rPr>
        <w:t>c）各职能部门的标准化操作程序。</w:t>
      </w:r>
    </w:p>
    <w:p>
      <w:pPr>
        <w:pStyle w:val="124"/>
        <w:ind w:firstLine="560"/>
      </w:pPr>
      <w:r>
        <w:rPr>
          <w:rFonts w:hint="eastAsia"/>
        </w:rPr>
        <w:t>d）润滑油、天然气泄漏控制措施；</w:t>
      </w:r>
    </w:p>
    <w:p>
      <w:pPr>
        <w:pStyle w:val="124"/>
        <w:ind w:firstLine="560"/>
      </w:pPr>
      <w:r>
        <w:rPr>
          <w:rFonts w:hint="eastAsia"/>
        </w:rPr>
        <w:t>e）各种应急设备的使用方法；</w:t>
      </w:r>
    </w:p>
    <w:p>
      <w:pPr>
        <w:pStyle w:val="124"/>
        <w:ind w:firstLine="560"/>
      </w:pPr>
      <w:r>
        <w:rPr>
          <w:rFonts w:hint="eastAsia"/>
        </w:rPr>
        <w:t>f）应急防护用品的佩戴；</w:t>
      </w:r>
    </w:p>
    <w:p>
      <w:pPr>
        <w:pStyle w:val="124"/>
        <w:ind w:firstLine="560"/>
      </w:pPr>
      <w:r>
        <w:rPr>
          <w:rFonts w:hint="eastAsia"/>
        </w:rPr>
        <w:t>g）如何安全疏散人群等基本操作程序；</w:t>
      </w:r>
    </w:p>
    <w:p>
      <w:pPr>
        <w:pStyle w:val="124"/>
        <w:ind w:firstLine="560"/>
      </w:pPr>
      <w:r>
        <w:t>h</w:t>
      </w:r>
      <w:r>
        <w:rPr>
          <w:rFonts w:hint="eastAsia"/>
        </w:rPr>
        <w:t>)</w:t>
      </w:r>
      <w:r>
        <w:t xml:space="preserve"> </w:t>
      </w:r>
      <w:r>
        <w:rPr>
          <w:rFonts w:hint="eastAsia"/>
        </w:rPr>
        <w:t>环保</w:t>
      </w:r>
      <w:r>
        <w:t>设施故障处理措施</w:t>
      </w:r>
      <w:r>
        <w:rPr>
          <w:rFonts w:hint="eastAsia"/>
        </w:rPr>
        <w:t>。</w:t>
      </w:r>
    </w:p>
    <w:p>
      <w:pPr>
        <w:pStyle w:val="132"/>
      </w:pPr>
      <w:bookmarkStart w:id="305" w:name="_Toc399770059"/>
      <w:bookmarkStart w:id="306" w:name="_Toc505945745"/>
      <w:bookmarkStart w:id="307" w:name="_Toc8788"/>
      <w:bookmarkStart w:id="308" w:name="_Toc25027"/>
      <w:bookmarkStart w:id="309" w:name="_Toc463949142"/>
      <w:r>
        <w:rPr>
          <w:rFonts w:hint="eastAsia"/>
        </w:rPr>
        <w:t>应急指挥人员、监测人员、运输司机等特别培训内容和方法</w:t>
      </w:r>
      <w:bookmarkEnd w:id="305"/>
      <w:bookmarkEnd w:id="306"/>
      <w:bookmarkEnd w:id="307"/>
      <w:bookmarkEnd w:id="308"/>
      <w:bookmarkEnd w:id="309"/>
    </w:p>
    <w:p>
      <w:pPr>
        <w:pStyle w:val="124"/>
        <w:ind w:firstLine="560"/>
      </w:pPr>
      <w:r>
        <w:rPr>
          <w:rFonts w:hint="eastAsia"/>
        </w:rPr>
        <w:t>应急指挥人员主要负责的是时事故现场的控制并执行现场应急行动，协调应急队员之间的活动和通讯联系。应急者都具有相当丰富的事故应急和现场管理的经验，由于他们责任的重大，要求他们参加的培训应更为全面和严格，以提高应急指挥者的素质，保证事故应急的顺利完成。通常，该类应急者应该培训内容：协调与指导所有的应急活动；负责执行一个综合性的应急教授预案；协调信息发布和政府官员参与的应急工作；负责向国家、省市、当地政府主管部门递交事故报告；负责提供事故和应急工作总结</w:t>
      </w:r>
    </w:p>
    <w:p>
      <w:pPr>
        <w:pStyle w:val="132"/>
      </w:pPr>
      <w:bookmarkStart w:id="310" w:name="_Toc463949143"/>
      <w:bookmarkStart w:id="311" w:name="_Toc4453"/>
      <w:bookmarkStart w:id="312" w:name="_Toc399770060"/>
      <w:bookmarkStart w:id="313" w:name="_Toc22248"/>
      <w:bookmarkStart w:id="314" w:name="_Toc505945746"/>
      <w:r>
        <w:rPr>
          <w:rFonts w:hint="eastAsia"/>
        </w:rPr>
        <w:t>员工应急知识培训内容和方法</w:t>
      </w:r>
      <w:bookmarkEnd w:id="310"/>
      <w:bookmarkEnd w:id="311"/>
      <w:bookmarkEnd w:id="312"/>
      <w:bookmarkEnd w:id="313"/>
      <w:bookmarkEnd w:id="314"/>
    </w:p>
    <w:bookmarkEnd w:id="302"/>
    <w:bookmarkEnd w:id="303"/>
    <w:bookmarkEnd w:id="304"/>
    <w:p>
      <w:pPr>
        <w:pStyle w:val="124"/>
        <w:ind w:firstLine="560"/>
      </w:pPr>
      <w:bookmarkStart w:id="315" w:name="_Toc241856870"/>
      <w:bookmarkStart w:id="316" w:name="_Toc253307726"/>
      <w:bookmarkStart w:id="317" w:name="_Toc244838223"/>
      <w:r>
        <w:rPr>
          <w:rFonts w:hint="eastAsia"/>
        </w:rPr>
        <w:t>突发安全环保事故应急救援队伍分两个层次开展培训，即班组级培训和公司级培训。</w:t>
      </w:r>
    </w:p>
    <w:p>
      <w:pPr>
        <w:pStyle w:val="124"/>
        <w:ind w:firstLine="562"/>
        <w:rPr>
          <w:b/>
        </w:rPr>
      </w:pPr>
      <w:r>
        <w:rPr>
          <w:rFonts w:hint="eastAsia"/>
          <w:b/>
        </w:rPr>
        <w:t>一、班组级培训主要内容</w:t>
      </w:r>
    </w:p>
    <w:p>
      <w:pPr>
        <w:pStyle w:val="124"/>
        <w:ind w:firstLine="560"/>
      </w:pPr>
      <w:r>
        <w:rPr>
          <w:rFonts w:hint="eastAsia"/>
        </w:rPr>
        <w:t>班组级是及时处理事故、紧急避险、自救互救的重要环节，同时也是事故及早发现、及时上报的关键，一般危险化学品事故在这一层次上能够及时处理而避免事故的进一步扩大，因此，对班组级职工开展事故防控培训非常重要。每季开展一次，培训内容：</w:t>
      </w:r>
    </w:p>
    <w:p>
      <w:pPr>
        <w:pStyle w:val="124"/>
        <w:ind w:firstLine="560"/>
      </w:pPr>
      <w:r>
        <w:rPr>
          <w:rFonts w:hint="eastAsia"/>
        </w:rPr>
        <w:t>1、针对系统（或岗位）可能发生的事故，在紧急情况下如何进行紧急停车、避险、报警的方法。</w:t>
      </w:r>
    </w:p>
    <w:p>
      <w:pPr>
        <w:pStyle w:val="124"/>
        <w:ind w:firstLine="560"/>
      </w:pPr>
      <w:r>
        <w:rPr>
          <w:rFonts w:hint="eastAsia"/>
        </w:rPr>
        <w:t>2、针对系统（或岗位）可能导致人员伤害类别，现场进行紧急救护方法。</w:t>
      </w:r>
    </w:p>
    <w:p>
      <w:pPr>
        <w:pStyle w:val="124"/>
        <w:ind w:firstLine="560"/>
      </w:pPr>
      <w:r>
        <w:rPr>
          <w:rFonts w:hint="eastAsia"/>
        </w:rPr>
        <w:t>3、针对系统（或岗位）可能发生的事故，如何采取有效措施控制事故和避免事故扩大化。</w:t>
      </w:r>
    </w:p>
    <w:p>
      <w:pPr>
        <w:pStyle w:val="124"/>
        <w:ind w:firstLine="560"/>
      </w:pPr>
      <w:r>
        <w:rPr>
          <w:rFonts w:hint="eastAsia"/>
        </w:rPr>
        <w:t>4、针对可能发生的事故应急救援必须使用的防护装备，学会使用方法。</w:t>
      </w:r>
    </w:p>
    <w:p>
      <w:pPr>
        <w:pStyle w:val="124"/>
        <w:ind w:firstLine="560"/>
      </w:pPr>
      <w:r>
        <w:rPr>
          <w:rFonts w:hint="eastAsia"/>
        </w:rPr>
        <w:t>5、针对可能发生的事故学习消防器材和各类设备的使用方法。</w:t>
      </w:r>
    </w:p>
    <w:p>
      <w:pPr>
        <w:pStyle w:val="124"/>
        <w:ind w:firstLine="560"/>
      </w:pPr>
      <w:r>
        <w:rPr>
          <w:rFonts w:hint="eastAsia"/>
        </w:rPr>
        <w:t>6、掌握车间存在危险物质特性、健康危害、危险性、急救方法。</w:t>
      </w:r>
    </w:p>
    <w:p>
      <w:pPr>
        <w:pStyle w:val="124"/>
        <w:ind w:firstLine="560"/>
      </w:pPr>
      <w:r>
        <w:t>7</w:t>
      </w:r>
      <w:r>
        <w:rPr>
          <w:rFonts w:hint="eastAsia"/>
        </w:rPr>
        <w:t>、掌握应急救援预案，事故时按照预案有条不紊地组织应急救援。</w:t>
      </w:r>
    </w:p>
    <w:p>
      <w:pPr>
        <w:pStyle w:val="124"/>
        <w:ind w:firstLine="560"/>
      </w:pPr>
      <w:r>
        <w:t>8</w:t>
      </w:r>
      <w:r>
        <w:rPr>
          <w:rFonts w:hint="eastAsia"/>
        </w:rPr>
        <w:t>、针对厂内生产实际情况，熟悉如何有效控制事故，避免事故失控和扩大化。</w:t>
      </w:r>
    </w:p>
    <w:p>
      <w:pPr>
        <w:pStyle w:val="124"/>
        <w:ind w:firstLine="560"/>
      </w:pPr>
      <w:r>
        <w:t>9</w:t>
      </w:r>
      <w:r>
        <w:rPr>
          <w:rFonts w:hint="eastAsia"/>
        </w:rPr>
        <w:t>、针对可能需要启动公司级应急救援预案时，熟悉厂内应采取的各类响应措施（如组织大规模人员疏散、撤离，警戒、隔离、向上级报警等）。</w:t>
      </w:r>
    </w:p>
    <w:p>
      <w:pPr>
        <w:pStyle w:val="124"/>
        <w:ind w:firstLine="560"/>
      </w:pPr>
      <w:r>
        <w:rPr>
          <w:rFonts w:hint="eastAsia"/>
        </w:rPr>
        <w:t>培训方法：聘请相关专业人员授课，课程结束后需对参加培训的人员进行考核，并列入员工的绩效考核中。</w:t>
      </w:r>
    </w:p>
    <w:p>
      <w:pPr>
        <w:pStyle w:val="124"/>
        <w:ind w:firstLine="562"/>
        <w:rPr>
          <w:b/>
        </w:rPr>
      </w:pPr>
      <w:r>
        <w:rPr>
          <w:rFonts w:hint="eastAsia"/>
          <w:b/>
        </w:rPr>
        <w:t>二、公司级培训内容和方法</w:t>
      </w:r>
    </w:p>
    <w:p>
      <w:pPr>
        <w:pStyle w:val="124"/>
        <w:ind w:firstLine="560"/>
      </w:pPr>
      <w:r>
        <w:rPr>
          <w:rFonts w:hint="eastAsia"/>
        </w:rPr>
        <w:t>各部门日常工作把应急救援中各自应承担的职责纳入工作考核内容，定期检查改进。每年进行一次。培训内容：</w:t>
      </w:r>
    </w:p>
    <w:p>
      <w:pPr>
        <w:pStyle w:val="124"/>
        <w:ind w:firstLine="560"/>
      </w:pPr>
      <w:r>
        <w:rPr>
          <w:rFonts w:hint="eastAsia"/>
        </w:rPr>
        <w:t>1、学习班组级、厂级的所有内容。</w:t>
      </w:r>
    </w:p>
    <w:p>
      <w:pPr>
        <w:pStyle w:val="124"/>
        <w:ind w:firstLine="560"/>
      </w:pPr>
      <w:r>
        <w:rPr>
          <w:rFonts w:hint="eastAsia"/>
        </w:rPr>
        <w:t>2、熟悉公司级应急救援预案，事故如何进行详细报警，生产和安全等部门如何接事故警报。</w:t>
      </w:r>
    </w:p>
    <w:p>
      <w:pPr>
        <w:pStyle w:val="124"/>
        <w:ind w:firstLine="560"/>
      </w:pPr>
      <w:r>
        <w:rPr>
          <w:rFonts w:hint="eastAsia"/>
        </w:rPr>
        <w:t>3、如何启动公司级应急救援预案程序。</w:t>
      </w:r>
    </w:p>
    <w:p>
      <w:pPr>
        <w:pStyle w:val="124"/>
        <w:ind w:firstLine="560"/>
      </w:pPr>
      <w:r>
        <w:rPr>
          <w:rFonts w:hint="eastAsia"/>
        </w:rPr>
        <w:t>4、各部门依据应急救援的职责和分工开展工作。</w:t>
      </w:r>
    </w:p>
    <w:p>
      <w:pPr>
        <w:pStyle w:val="124"/>
        <w:ind w:firstLine="560"/>
      </w:pPr>
      <w:r>
        <w:rPr>
          <w:rFonts w:hint="eastAsia"/>
        </w:rPr>
        <w:t>5、组织应急物资的调运。</w:t>
      </w:r>
    </w:p>
    <w:p>
      <w:pPr>
        <w:pStyle w:val="124"/>
        <w:ind w:firstLine="560"/>
      </w:pPr>
      <w:r>
        <w:rPr>
          <w:rFonts w:hint="eastAsia"/>
        </w:rPr>
        <w:t>6、申请外部救援力量的报警方法，以及发布事故消息，组织周边社区、政府部门的疏散方法等。</w:t>
      </w:r>
    </w:p>
    <w:p>
      <w:pPr>
        <w:pStyle w:val="124"/>
        <w:ind w:firstLine="560"/>
      </w:pPr>
      <w:r>
        <w:rPr>
          <w:rFonts w:hint="eastAsia"/>
        </w:rPr>
        <w:t>7、事故现场的警戒和隔离，以及事故现场的洗消方法。</w:t>
      </w:r>
    </w:p>
    <w:p>
      <w:pPr>
        <w:pStyle w:val="124"/>
        <w:ind w:firstLine="560"/>
      </w:pPr>
      <w:r>
        <w:rPr>
          <w:rFonts w:hint="eastAsia"/>
        </w:rPr>
        <w:t>培训方法：聘请相关专业人员授课，课程结束后需对参加培训的人员进行考核，并列入员工的绩效考核中。</w:t>
      </w:r>
    </w:p>
    <w:p>
      <w:pPr>
        <w:pStyle w:val="132"/>
      </w:pPr>
      <w:bookmarkStart w:id="318" w:name="_Toc463949144"/>
      <w:bookmarkStart w:id="319" w:name="_Toc24336"/>
      <w:bookmarkStart w:id="320" w:name="_Toc399770061"/>
      <w:bookmarkStart w:id="321" w:name="_Toc26711"/>
      <w:bookmarkStart w:id="322" w:name="_Toc505945747"/>
      <w:r>
        <w:rPr>
          <w:rFonts w:hint="eastAsia"/>
        </w:rPr>
        <w:t>社区或周边人员应急响应知识的宣传</w:t>
      </w:r>
      <w:bookmarkEnd w:id="318"/>
      <w:bookmarkEnd w:id="319"/>
      <w:bookmarkEnd w:id="320"/>
      <w:bookmarkEnd w:id="321"/>
      <w:bookmarkEnd w:id="322"/>
    </w:p>
    <w:p>
      <w:pPr>
        <w:pStyle w:val="124"/>
        <w:ind w:firstLine="560"/>
      </w:pPr>
      <w:r>
        <w:rPr>
          <w:rFonts w:hint="eastAsia"/>
        </w:rPr>
        <w:t>针对公司可能发生的事故，每年进行一次的社区和周边人员的应急响应的自身宣传活动。宣传内容：</w:t>
      </w:r>
    </w:p>
    <w:p>
      <w:pPr>
        <w:pStyle w:val="124"/>
        <w:ind w:firstLine="560"/>
      </w:pPr>
      <w:r>
        <w:rPr>
          <w:rFonts w:hint="eastAsia"/>
        </w:rPr>
        <w:t>1、公司生产中过程</w:t>
      </w:r>
      <w:r>
        <w:t>中</w:t>
      </w:r>
      <w:r>
        <w:rPr>
          <w:rFonts w:hint="eastAsia"/>
        </w:rPr>
        <w:t>润滑油和天然气的特性、健康危害、防护知识等。</w:t>
      </w:r>
    </w:p>
    <w:p>
      <w:pPr>
        <w:pStyle w:val="124"/>
        <w:ind w:firstLine="560"/>
      </w:pPr>
      <w:r>
        <w:rPr>
          <w:rFonts w:hint="eastAsia"/>
        </w:rPr>
        <w:t>2、公司可能发生润滑油和天然气</w:t>
      </w:r>
      <w:r>
        <w:t>等</w:t>
      </w:r>
      <w:r>
        <w:rPr>
          <w:rFonts w:hint="eastAsia"/>
        </w:rPr>
        <w:t>泄漏</w:t>
      </w:r>
      <w:r>
        <w:t>、火灾</w:t>
      </w:r>
      <w:r>
        <w:rPr>
          <w:rFonts w:hint="eastAsia"/>
        </w:rPr>
        <w:t>爆炸</w:t>
      </w:r>
      <w:r>
        <w:t>等</w:t>
      </w:r>
      <w:r>
        <w:rPr>
          <w:rFonts w:hint="eastAsia"/>
        </w:rPr>
        <w:t>事故的知识、导致哪些危害和污染，在什么条件下，必须对社区和周边人员进行转移疏散。</w:t>
      </w:r>
    </w:p>
    <w:p>
      <w:pPr>
        <w:pStyle w:val="124"/>
        <w:ind w:firstLine="560"/>
      </w:pPr>
      <w:r>
        <w:rPr>
          <w:rFonts w:hint="eastAsia"/>
        </w:rPr>
        <w:t>3、人员转移、疏散的原则以及转移过程中的注意安全事项。</w:t>
      </w:r>
    </w:p>
    <w:p>
      <w:pPr>
        <w:pStyle w:val="124"/>
        <w:ind w:firstLine="560"/>
      </w:pPr>
      <w:r>
        <w:rPr>
          <w:rFonts w:hint="eastAsia"/>
        </w:rPr>
        <w:t>4、对因事故而导致的污染和伤害的处理方法。</w:t>
      </w:r>
    </w:p>
    <w:bookmarkEnd w:id="315"/>
    <w:bookmarkEnd w:id="316"/>
    <w:bookmarkEnd w:id="317"/>
    <w:p>
      <w:pPr>
        <w:pStyle w:val="132"/>
      </w:pPr>
      <w:bookmarkStart w:id="323" w:name="_Toc399770062"/>
      <w:bookmarkStart w:id="324" w:name="_Toc27022"/>
      <w:bookmarkStart w:id="325" w:name="_Toc463949145"/>
      <w:bookmarkStart w:id="326" w:name="_Toc505945748"/>
      <w:bookmarkStart w:id="327" w:name="_Toc12789"/>
      <w:r>
        <w:rPr>
          <w:rFonts w:hint="eastAsia"/>
        </w:rPr>
        <w:t>应急培训内容、方式、记录、考核表</w:t>
      </w:r>
      <w:bookmarkEnd w:id="323"/>
      <w:bookmarkEnd w:id="324"/>
      <w:bookmarkEnd w:id="325"/>
      <w:bookmarkEnd w:id="326"/>
      <w:bookmarkEnd w:id="327"/>
    </w:p>
    <w:p>
      <w:pPr>
        <w:pStyle w:val="124"/>
        <w:ind w:firstLine="560"/>
      </w:pPr>
      <w:r>
        <w:rPr>
          <w:rFonts w:hint="eastAsia"/>
        </w:rPr>
        <w:t>1、主要培训内容：</w:t>
      </w:r>
    </w:p>
    <w:p>
      <w:pPr>
        <w:pStyle w:val="124"/>
        <w:ind w:firstLine="560"/>
      </w:pPr>
      <w:r>
        <w:rPr>
          <w:rFonts w:hint="eastAsia"/>
        </w:rPr>
        <w:t>（1）由本企业生产负责部门制定环境风险及应急培训计划，负责组织实施；</w:t>
      </w:r>
    </w:p>
    <w:p>
      <w:pPr>
        <w:pStyle w:val="124"/>
        <w:ind w:firstLine="560"/>
      </w:pPr>
      <w:r>
        <w:rPr>
          <w:rFonts w:hint="eastAsia"/>
        </w:rPr>
        <w:t>（2）每半年</w:t>
      </w:r>
      <w:r>
        <w:t>（1</w:t>
      </w:r>
      <w:r>
        <w:rPr>
          <w:rFonts w:hint="eastAsia"/>
        </w:rPr>
        <w:t>月和</w:t>
      </w:r>
      <w:r>
        <w:t>7</w:t>
      </w:r>
      <w:r>
        <w:rPr>
          <w:rFonts w:hint="eastAsia"/>
        </w:rPr>
        <w:t>月</w:t>
      </w:r>
      <w:r>
        <w:t>）</w:t>
      </w:r>
      <w:r>
        <w:rPr>
          <w:rFonts w:hint="eastAsia"/>
        </w:rPr>
        <w:t xml:space="preserve">对所有职工应至少组织一次应急预案的培训，熟悉事故应急预案和事故现场处置方案，明确自己的工作职责； </w:t>
      </w:r>
    </w:p>
    <w:p>
      <w:pPr>
        <w:pStyle w:val="124"/>
        <w:ind w:firstLine="560"/>
      </w:pPr>
      <w:r>
        <w:rPr>
          <w:rFonts w:hint="eastAsia"/>
        </w:rPr>
        <w:t>（3）让所有员工都知道应急救援预案的内容，在事故发生时知道如何采取应急措施，并有针对性地对可能发生的事故情景进行演练；</w:t>
      </w:r>
    </w:p>
    <w:p>
      <w:pPr>
        <w:pStyle w:val="124"/>
        <w:ind w:firstLine="560"/>
      </w:pPr>
      <w:r>
        <w:rPr>
          <w:rFonts w:hint="eastAsia"/>
        </w:rPr>
        <w:t>（4）应急救援小组培训：对各应急救援小组进行培训，熟知自己的岗位责任、抢险任务以及小组之间的紧密配合；</w:t>
      </w:r>
    </w:p>
    <w:p>
      <w:pPr>
        <w:pStyle w:val="124"/>
        <w:ind w:firstLine="560"/>
      </w:pPr>
      <w:r>
        <w:rPr>
          <w:rFonts w:hint="eastAsia"/>
        </w:rPr>
        <w:t>（5）培训的其他内容：鉴别异常情况并及时上报的能力与意识；如何正确处理各种事故；自救与互救能力；各种救援器材和工具使用知识；与上下级联系的方法和各种信号的含义；工作岗位存在哪些危险隐患；防护用具的使用和自制简单防护用具；紧急状态下如何行动等。</w:t>
      </w:r>
    </w:p>
    <w:p>
      <w:pPr>
        <w:pStyle w:val="124"/>
        <w:ind w:firstLine="560"/>
      </w:pPr>
      <w:r>
        <w:rPr>
          <w:rFonts w:hint="eastAsia"/>
        </w:rPr>
        <w:t>2、主要培训方式：</w:t>
      </w:r>
    </w:p>
    <w:p>
      <w:pPr>
        <w:pStyle w:val="124"/>
        <w:ind w:firstLine="560"/>
      </w:pPr>
      <w:r>
        <w:rPr>
          <w:rFonts w:hint="eastAsia"/>
        </w:rPr>
        <w:t>本企业应急培训分为两种不同方式进行培训，一是通过授课方式进行讲解，另一种是通过实际演练进行现场教育培训。从而提高员工应急能力。</w:t>
      </w:r>
    </w:p>
    <w:p>
      <w:pPr>
        <w:pStyle w:val="124"/>
        <w:ind w:firstLine="560"/>
      </w:pPr>
      <w:r>
        <w:rPr>
          <w:rFonts w:hint="eastAsia"/>
        </w:rPr>
        <w:t>3、培训记录：</w:t>
      </w:r>
    </w:p>
    <w:p>
      <w:pPr>
        <w:pStyle w:val="124"/>
        <w:ind w:firstLine="560"/>
      </w:pPr>
      <w:r>
        <w:rPr>
          <w:rFonts w:hint="eastAsia"/>
        </w:rPr>
        <w:t>参与培训人员结束后提交一份应急培训记录，主要记录包括本次培训内容，如：润滑油和天然气泄漏操作注意事项、应急处理方式方法、灭火方法、对应急事件应采取的措施。</w:t>
      </w:r>
    </w:p>
    <w:p>
      <w:pPr>
        <w:pStyle w:val="124"/>
        <w:ind w:firstLine="560"/>
      </w:pPr>
      <w:r>
        <w:rPr>
          <w:rFonts w:hint="eastAsia"/>
        </w:rPr>
        <w:t>培训考核表：</w:t>
      </w:r>
    </w:p>
    <w:p>
      <w:pPr>
        <w:pStyle w:val="124"/>
        <w:ind w:firstLine="560"/>
      </w:pPr>
      <w:r>
        <w:rPr>
          <w:rFonts w:hint="eastAsia"/>
        </w:rPr>
        <w:t>通过签到情况了解员工应急预案培训了解程度。</w:t>
      </w:r>
    </w:p>
    <w:p>
      <w:pPr>
        <w:pStyle w:val="131"/>
      </w:pPr>
      <w:bookmarkStart w:id="328" w:name="_Toc505945749"/>
      <w:bookmarkStart w:id="329" w:name="_Toc463949146"/>
      <w:bookmarkStart w:id="330" w:name="_Toc5128"/>
      <w:bookmarkStart w:id="331" w:name="_Toc30985"/>
      <w:r>
        <w:rPr>
          <w:rFonts w:hint="eastAsia"/>
        </w:rPr>
        <w:t>应急预案演练</w:t>
      </w:r>
      <w:bookmarkEnd w:id="328"/>
      <w:bookmarkEnd w:id="329"/>
      <w:bookmarkEnd w:id="330"/>
      <w:bookmarkEnd w:id="331"/>
    </w:p>
    <w:p>
      <w:pPr>
        <w:pStyle w:val="124"/>
        <w:ind w:firstLine="700" w:firstLineChars="250"/>
      </w:pPr>
      <w:bookmarkStart w:id="332" w:name="_Toc253307734"/>
      <w:bookmarkStart w:id="333" w:name="_Toc244838231"/>
      <w:r>
        <w:rPr>
          <w:rFonts w:hint="eastAsia"/>
        </w:rPr>
        <w:t>1</w:t>
      </w:r>
      <w:bookmarkStart w:id="334" w:name="_Toc241032931"/>
      <w:r>
        <w:rPr>
          <w:rFonts w:hint="eastAsia"/>
        </w:rPr>
        <w:t>、演练原则</w:t>
      </w:r>
      <w:bookmarkEnd w:id="332"/>
      <w:bookmarkEnd w:id="333"/>
      <w:bookmarkEnd w:id="334"/>
    </w:p>
    <w:p>
      <w:pPr>
        <w:pStyle w:val="124"/>
        <w:ind w:firstLine="560"/>
      </w:pPr>
      <w:bookmarkStart w:id="335" w:name="_Toc239065741"/>
      <w:bookmarkStart w:id="336" w:name="_Toc241032932"/>
      <w:bookmarkStart w:id="337" w:name="_Toc236219795"/>
      <w:bookmarkStart w:id="338" w:name="_Toc236219699"/>
      <w:bookmarkStart w:id="339" w:name="_Toc236219917"/>
      <w:bookmarkStart w:id="340" w:name="_Toc236216107"/>
      <w:bookmarkStart w:id="341" w:name="_Toc238009860"/>
      <w:bookmarkStart w:id="342" w:name="_Toc236219577"/>
      <w:bookmarkStart w:id="343" w:name="_Toc236220013"/>
      <w:r>
        <w:rPr>
          <w:rFonts w:hint="eastAsia"/>
        </w:rPr>
        <w:t>（1）事故应急救援训练和演习，要坚持有时效性，突出专业原则。</w:t>
      </w:r>
    </w:p>
    <w:p>
      <w:pPr>
        <w:pStyle w:val="124"/>
        <w:ind w:firstLine="560"/>
      </w:pPr>
      <w:r>
        <w:rPr>
          <w:rFonts w:hint="eastAsia"/>
        </w:rPr>
        <w:t>（2）事故应急救援训练和演习。应以本公司为中心，必要时聘请教练辅导。</w:t>
      </w:r>
    </w:p>
    <w:p>
      <w:pPr>
        <w:pStyle w:val="124"/>
        <w:ind w:firstLine="700" w:firstLineChars="250"/>
      </w:pPr>
      <w:r>
        <w:rPr>
          <w:rFonts w:hint="eastAsia"/>
        </w:rPr>
        <w:t>2、演练的要求</w:t>
      </w:r>
    </w:p>
    <w:p>
      <w:pPr>
        <w:pStyle w:val="124"/>
        <w:ind w:firstLine="560"/>
      </w:pPr>
      <w:r>
        <w:rPr>
          <w:rFonts w:hint="eastAsia"/>
        </w:rPr>
        <w:t>（1）参加训练人员由应急中心组每年根据具体情况确定。主要对象是公司主管人员，对全体职工也要普及教育安排。</w:t>
      </w:r>
    </w:p>
    <w:p>
      <w:pPr>
        <w:pStyle w:val="124"/>
        <w:ind w:firstLine="560"/>
      </w:pPr>
      <w:r>
        <w:rPr>
          <w:rFonts w:hint="eastAsia"/>
        </w:rPr>
        <w:t>（2）讲授人员由公司环保专业技术管理人员组织进行。</w:t>
      </w:r>
    </w:p>
    <w:p>
      <w:pPr>
        <w:pStyle w:val="124"/>
        <w:ind w:firstLine="560"/>
      </w:pPr>
      <w:r>
        <w:rPr>
          <w:rFonts w:hint="eastAsia"/>
        </w:rPr>
        <w:t>（3）训练内容以公司现有环境污染、危险特性的产品及原料知识为主，同时讲授可能发生的事故和抢救方法。</w:t>
      </w:r>
    </w:p>
    <w:p>
      <w:pPr>
        <w:pStyle w:val="124"/>
        <w:ind w:firstLine="560"/>
      </w:pPr>
      <w:r>
        <w:rPr>
          <w:rFonts w:hint="eastAsia"/>
        </w:rPr>
        <w:t>（4）接到训练通知的人员，必须认真参加，做好记录，如故不到者，按旷工处理，并接受二次培训。</w:t>
      </w:r>
    </w:p>
    <w:p>
      <w:pPr>
        <w:pStyle w:val="124"/>
        <w:ind w:firstLine="560"/>
      </w:pPr>
      <w:r>
        <w:rPr>
          <w:rFonts w:hint="eastAsia"/>
        </w:rPr>
        <w:t>（5）每期训练人员必须参加当期测试。</w:t>
      </w:r>
    </w:p>
    <w:p>
      <w:pPr>
        <w:pStyle w:val="132"/>
      </w:pPr>
      <w:bookmarkStart w:id="344" w:name="_Toc253307735"/>
      <w:bookmarkStart w:id="345" w:name="_Toc244838232"/>
      <w:bookmarkStart w:id="346" w:name="_Toc463949147"/>
      <w:bookmarkStart w:id="347" w:name="_Toc399770064"/>
      <w:bookmarkStart w:id="348" w:name="_Toc2411"/>
      <w:bookmarkStart w:id="349" w:name="_Toc7927"/>
      <w:bookmarkStart w:id="350" w:name="_Toc505945750"/>
      <w:r>
        <w:rPr>
          <w:rFonts w:hint="eastAsia"/>
        </w:rPr>
        <w:t>演习准备</w:t>
      </w:r>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p>
    <w:p>
      <w:pPr>
        <w:pStyle w:val="136"/>
      </w:pPr>
      <w:bookmarkStart w:id="351" w:name="_Toc253307736"/>
      <w:bookmarkStart w:id="352" w:name="_Toc244838233"/>
      <w:r>
        <w:rPr>
          <w:rFonts w:hint="eastAsia"/>
        </w:rPr>
        <w:t>应急演练的准备原则</w:t>
      </w:r>
      <w:bookmarkEnd w:id="351"/>
      <w:bookmarkEnd w:id="352"/>
    </w:p>
    <w:p>
      <w:pPr>
        <w:pStyle w:val="124"/>
        <w:ind w:firstLine="560"/>
      </w:pPr>
      <w:r>
        <w:rPr>
          <w:rFonts w:hint="eastAsia"/>
        </w:rPr>
        <w:t>1、依据《国务院有关部门和单位制定和修改突发环境污染事故应急预案》和《企业突发环境污染事故应急预案编制指南》，结合我公司的实际情况，编制出操作性强、科学性强、实用性强的应急救援预案；</w:t>
      </w:r>
    </w:p>
    <w:p>
      <w:pPr>
        <w:pStyle w:val="124"/>
        <w:ind w:firstLine="560"/>
      </w:pPr>
      <w:r>
        <w:rPr>
          <w:rFonts w:hint="eastAsia"/>
        </w:rPr>
        <w:t>2、建设一支思想觉悟高、业务技术精、工作责任心强的内部应急救援队伍；</w:t>
      </w:r>
    </w:p>
    <w:p>
      <w:pPr>
        <w:pStyle w:val="124"/>
        <w:ind w:firstLine="560"/>
      </w:pPr>
      <w:r>
        <w:rPr>
          <w:rFonts w:hint="eastAsia"/>
        </w:rPr>
        <w:t>3、配备足够的应急物质（包括消防设施、救援机械设备交通工具、个体防护设备、医疗设备和药品、生活保障物资等）。并根据潜在事故的性质和后果分析，合理配置。由专人定期检查、维护与更新，要始终保证处于备用状态。</w:t>
      </w:r>
      <w:bookmarkStart w:id="353" w:name="_Toc241829085"/>
    </w:p>
    <w:p>
      <w:pPr>
        <w:pStyle w:val="136"/>
      </w:pPr>
      <w:bookmarkStart w:id="354" w:name="_Toc244838234"/>
      <w:bookmarkStart w:id="355" w:name="_Toc253307737"/>
      <w:r>
        <w:rPr>
          <w:rFonts w:hint="eastAsia"/>
        </w:rPr>
        <w:t>演练准备</w:t>
      </w:r>
      <w:bookmarkEnd w:id="353"/>
      <w:bookmarkEnd w:id="354"/>
      <w:bookmarkEnd w:id="355"/>
    </w:p>
    <w:p>
      <w:pPr>
        <w:pStyle w:val="124"/>
        <w:ind w:firstLine="560"/>
      </w:pPr>
      <w:r>
        <w:rPr>
          <w:rFonts w:hint="eastAsia"/>
        </w:rPr>
        <w:t>1、由车间主任负责组织应急指挥部成员编制出应急演练方案，编制办公室设在会议室，由总经理审核批准后实施，每年6月演练一次，并写出演练总结；</w:t>
      </w:r>
    </w:p>
    <w:p>
      <w:pPr>
        <w:pStyle w:val="124"/>
        <w:ind w:firstLine="560"/>
      </w:pPr>
      <w:r>
        <w:rPr>
          <w:rFonts w:hint="eastAsia"/>
          <w:lang w:val="en-US" w:eastAsia="zh-CN"/>
        </w:rPr>
        <w:t>2</w:t>
      </w:r>
      <w:r>
        <w:rPr>
          <w:rFonts w:hint="eastAsia"/>
        </w:rPr>
        <w:t>、应急演练的内容：凡涉及有可能影响本厂环保、安全生产发生的所有事故。</w:t>
      </w:r>
    </w:p>
    <w:p>
      <w:pPr>
        <w:pStyle w:val="124"/>
        <w:ind w:firstLine="560"/>
      </w:pPr>
      <w:r>
        <w:rPr>
          <w:rFonts w:hint="eastAsia"/>
        </w:rPr>
        <w:t>（1）向企业外机构迅速通报；</w:t>
      </w:r>
    </w:p>
    <w:p>
      <w:pPr>
        <w:pStyle w:val="124"/>
        <w:ind w:firstLine="560"/>
      </w:pPr>
      <w:r>
        <w:rPr>
          <w:rFonts w:hint="eastAsia"/>
        </w:rPr>
        <w:t>（2）当地支援机构的通讯联络；</w:t>
      </w:r>
    </w:p>
    <w:p>
      <w:pPr>
        <w:pStyle w:val="124"/>
        <w:ind w:firstLine="560"/>
      </w:pPr>
      <w:r>
        <w:rPr>
          <w:rFonts w:hint="eastAsia"/>
        </w:rPr>
        <w:t>（3）各种应急设施的启动；</w:t>
      </w:r>
    </w:p>
    <w:p>
      <w:pPr>
        <w:pStyle w:val="124"/>
        <w:ind w:firstLine="560"/>
      </w:pPr>
      <w:r>
        <w:rPr>
          <w:rFonts w:hint="eastAsia"/>
        </w:rPr>
        <w:t>（4）应急小组任务的执行；</w:t>
      </w:r>
    </w:p>
    <w:p>
      <w:pPr>
        <w:pStyle w:val="124"/>
        <w:ind w:firstLine="560"/>
      </w:pPr>
      <w:r>
        <w:rPr>
          <w:rFonts w:hint="eastAsia"/>
        </w:rPr>
        <w:t>（5）实施程序的内容和充分性；</w:t>
      </w:r>
    </w:p>
    <w:p>
      <w:pPr>
        <w:pStyle w:val="124"/>
        <w:ind w:firstLine="560"/>
      </w:pPr>
      <w:r>
        <w:rPr>
          <w:rFonts w:hint="eastAsia"/>
        </w:rPr>
        <w:t>（6）相关应急设备的功能；</w:t>
      </w:r>
    </w:p>
    <w:p>
      <w:pPr>
        <w:pStyle w:val="124"/>
        <w:ind w:firstLine="560"/>
      </w:pPr>
      <w:r>
        <w:rPr>
          <w:rFonts w:hint="eastAsia"/>
        </w:rPr>
        <w:t>（7）执行分配任务的人员的应急能力；</w:t>
      </w:r>
    </w:p>
    <w:p>
      <w:pPr>
        <w:pStyle w:val="124"/>
        <w:ind w:firstLine="560"/>
      </w:pPr>
      <w:r>
        <w:rPr>
          <w:rFonts w:hint="eastAsia"/>
        </w:rPr>
        <w:t>（8）危险物质泄漏的模拟或监测显示。</w:t>
      </w:r>
      <w:bookmarkStart w:id="356" w:name="_Toc241829086"/>
    </w:p>
    <w:p>
      <w:pPr>
        <w:pStyle w:val="136"/>
      </w:pPr>
      <w:bookmarkStart w:id="357" w:name="_Toc244838235"/>
      <w:bookmarkStart w:id="358" w:name="_Toc253307738"/>
      <w:r>
        <w:rPr>
          <w:rFonts w:hint="eastAsia"/>
        </w:rPr>
        <w:t>演习准备的相应图</w:t>
      </w:r>
      <w:bookmarkEnd w:id="356"/>
      <w:bookmarkEnd w:id="357"/>
      <w:bookmarkEnd w:id="358"/>
    </w:p>
    <w:p>
      <w:pPr>
        <w:pStyle w:val="124"/>
        <w:ind w:firstLine="560"/>
      </w:pPr>
      <w:r>
        <w:rPr>
          <w:rFonts w:hint="eastAsia"/>
        </w:rPr>
        <w:t>1、本厂的平面布置图及</w:t>
      </w:r>
      <w:r>
        <w:t>疏散路线图</w:t>
      </w:r>
      <w:r>
        <w:rPr>
          <w:rFonts w:hint="eastAsia"/>
        </w:rPr>
        <w:t>，</w:t>
      </w:r>
      <w:r>
        <w:t>见</w:t>
      </w:r>
      <w:r>
        <w:rPr>
          <w:rFonts w:hint="eastAsia"/>
        </w:rPr>
        <w:t>附件</w:t>
      </w:r>
      <w:r>
        <w:rPr>
          <w:rFonts w:hint="eastAsia"/>
          <w:lang w:val="en-US" w:eastAsia="zh-CN"/>
        </w:rPr>
        <w:t>3</w:t>
      </w:r>
      <w:r>
        <w:rPr>
          <w:rFonts w:hint="eastAsia"/>
        </w:rPr>
        <w:t>；</w:t>
      </w:r>
    </w:p>
    <w:p>
      <w:pPr>
        <w:pStyle w:val="124"/>
        <w:ind w:firstLine="560"/>
      </w:pPr>
      <w:r>
        <w:t>2</w:t>
      </w:r>
      <w:r>
        <w:rPr>
          <w:rFonts w:hint="eastAsia"/>
        </w:rPr>
        <w:t>、应急设施分布图，见</w:t>
      </w:r>
      <w:r>
        <w:t>附件</w:t>
      </w:r>
      <w:bookmarkStart w:id="359" w:name="_Toc241829087"/>
      <w:r>
        <w:rPr>
          <w:rFonts w:hint="eastAsia"/>
          <w:lang w:val="en-US" w:eastAsia="zh-CN"/>
        </w:rPr>
        <w:t>4</w:t>
      </w:r>
      <w:r>
        <w:rPr>
          <w:rFonts w:hint="eastAsia"/>
        </w:rPr>
        <w:t>。</w:t>
      </w:r>
    </w:p>
    <w:p>
      <w:pPr>
        <w:pStyle w:val="132"/>
      </w:pPr>
      <w:bookmarkStart w:id="360" w:name="_Toc463949148"/>
      <w:bookmarkStart w:id="361" w:name="_Toc4799"/>
      <w:bookmarkStart w:id="362" w:name="_Toc18146"/>
      <w:bookmarkStart w:id="363" w:name="_Toc244838236"/>
      <w:bookmarkStart w:id="364" w:name="_Toc253307739"/>
      <w:bookmarkStart w:id="365" w:name="_Toc505945751"/>
      <w:bookmarkStart w:id="366" w:name="_Toc399770065"/>
      <w:r>
        <w:rPr>
          <w:rFonts w:hint="eastAsia"/>
        </w:rPr>
        <w:t>演习范围与频次</w:t>
      </w:r>
      <w:bookmarkEnd w:id="359"/>
      <w:bookmarkEnd w:id="360"/>
      <w:bookmarkEnd w:id="361"/>
      <w:bookmarkEnd w:id="362"/>
      <w:bookmarkEnd w:id="363"/>
      <w:bookmarkEnd w:id="364"/>
      <w:bookmarkEnd w:id="365"/>
      <w:bookmarkEnd w:id="366"/>
    </w:p>
    <w:p>
      <w:pPr>
        <w:pStyle w:val="124"/>
        <w:ind w:firstLine="560"/>
      </w:pPr>
      <w:r>
        <w:rPr>
          <w:rFonts w:hint="eastAsia"/>
        </w:rPr>
        <w:t>应急预案演练是对应急能力的综合检验。应以多种形式组织由应急各方参加的预案训练和演习，是应急人员熟悉各类应急处置和整个应急行动程序，明确自身职责，提高协同作战能力，保证应急救援工作协调、有效、迅速的开展。</w:t>
      </w:r>
    </w:p>
    <w:p>
      <w:pPr>
        <w:pStyle w:val="124"/>
        <w:ind w:firstLine="560"/>
      </w:pPr>
      <w:r>
        <w:rPr>
          <w:rFonts w:hint="eastAsia"/>
        </w:rPr>
        <w:t>根据应急预案，本公司应急救援工作小组每年（6月）组织一次重大事件应急预案的综合性演练，专项演练每车间根据实际情况每季度组织一次，现场处置方案每班组每季度组织一次。</w:t>
      </w:r>
    </w:p>
    <w:p>
      <w:pPr>
        <w:pStyle w:val="132"/>
      </w:pPr>
      <w:bookmarkStart w:id="367" w:name="_Toc8830"/>
      <w:r>
        <w:rPr>
          <w:rFonts w:hint="eastAsia"/>
        </w:rPr>
        <w:t>演练规模</w:t>
      </w:r>
      <w:bookmarkEnd w:id="367"/>
    </w:p>
    <w:p>
      <w:pPr>
        <w:pStyle w:val="124"/>
        <w:ind w:firstLine="560"/>
      </w:pPr>
      <w:r>
        <w:t>主要为各级应急指挥人员和应急作业人员；现场抢险救援队伍、医疗救助人员、治安警戒人员、现场所有施工人员以及所需应急装备使用；模拟人员、评估人员、扩大应急所需外部人员等。</w:t>
      </w:r>
    </w:p>
    <w:p>
      <w:pPr>
        <w:pStyle w:val="132"/>
      </w:pPr>
      <w:bookmarkStart w:id="368" w:name="_Toc30592"/>
      <w:r>
        <w:rPr>
          <w:rFonts w:hint="eastAsia"/>
        </w:rPr>
        <w:t>演练内容</w:t>
      </w:r>
      <w:bookmarkEnd w:id="368"/>
    </w:p>
    <w:p>
      <w:pPr>
        <w:pStyle w:val="124"/>
        <w:ind w:firstLine="560"/>
      </w:pPr>
      <w:r>
        <w:t>识别危险信号的意识和方法，上下和对外联络、报警，应急响应能力，指挥、协调能力，营救伤害和被困人员的方法，控制事态发展的抢险措施，装备器材的使用，伤害人员的自救防护和逃生，现场临时医疗救助，现场人群疏散和防卫警戒，救援抢险队伍任务完成的标准，物资设备调动和现场应急行动等。</w:t>
      </w:r>
    </w:p>
    <w:p>
      <w:pPr>
        <w:pStyle w:val="132"/>
      </w:pPr>
      <w:bookmarkStart w:id="369" w:name="_Toc399770066"/>
      <w:bookmarkStart w:id="370" w:name="_Toc253307740"/>
      <w:bookmarkStart w:id="371" w:name="_Toc244838237"/>
      <w:bookmarkStart w:id="372" w:name="_Toc8305"/>
      <w:bookmarkStart w:id="373" w:name="_Toc5485"/>
      <w:bookmarkStart w:id="374" w:name="_Toc463949149"/>
      <w:bookmarkStart w:id="375" w:name="_Toc505945752"/>
      <w:bookmarkStart w:id="376" w:name="_Toc241829088"/>
      <w:r>
        <w:rPr>
          <w:rFonts w:hint="eastAsia"/>
        </w:rPr>
        <w:t>演练组织</w:t>
      </w:r>
      <w:bookmarkEnd w:id="369"/>
      <w:bookmarkEnd w:id="370"/>
      <w:bookmarkEnd w:id="371"/>
      <w:bookmarkEnd w:id="372"/>
      <w:bookmarkEnd w:id="373"/>
      <w:bookmarkEnd w:id="374"/>
      <w:bookmarkEnd w:id="375"/>
      <w:bookmarkEnd w:id="376"/>
      <w:bookmarkStart w:id="377" w:name="_Toc241829089"/>
    </w:p>
    <w:bookmarkEnd w:id="377"/>
    <w:p>
      <w:pPr>
        <w:pStyle w:val="136"/>
      </w:pPr>
      <w:r>
        <w:rPr>
          <w:rFonts w:hint="eastAsia"/>
        </w:rPr>
        <w:t>基本要求</w:t>
      </w:r>
    </w:p>
    <w:p>
      <w:pPr>
        <w:pStyle w:val="124"/>
        <w:ind w:firstLine="560"/>
      </w:pPr>
      <w:r>
        <w:rPr>
          <w:rFonts w:hint="eastAsia"/>
        </w:rPr>
        <w:t>演练分为公司级和班组级两种方式，公司级主要为综合和</w:t>
      </w:r>
      <w:r>
        <w:t>专项</w:t>
      </w:r>
      <w:r>
        <w:rPr>
          <w:rFonts w:hint="eastAsia"/>
        </w:rPr>
        <w:t>预案的演练，班组级主要为现场处置方案的演练。</w:t>
      </w:r>
    </w:p>
    <w:p>
      <w:pPr>
        <w:pStyle w:val="136"/>
      </w:pPr>
      <w:r>
        <w:rPr>
          <w:rFonts w:hint="eastAsia"/>
        </w:rPr>
        <w:t>演练组织</w:t>
      </w:r>
    </w:p>
    <w:p>
      <w:pPr>
        <w:pStyle w:val="124"/>
        <w:ind w:firstLine="560"/>
      </w:pPr>
      <w:r>
        <w:rPr>
          <w:rFonts w:hint="eastAsia"/>
        </w:rPr>
        <w:t>建立应急救援领导机构，确定机构成员职责。应急演练由应急救援总指挥（或副总指挥）组织，具体事项由现场指挥组负责。</w:t>
      </w:r>
    </w:p>
    <w:p>
      <w:pPr>
        <w:pStyle w:val="124"/>
        <w:ind w:firstLine="560"/>
      </w:pPr>
      <w:r>
        <w:rPr>
          <w:rFonts w:hint="eastAsia"/>
        </w:rPr>
        <w:t>演练组织与预案中的应急救援组织一样由应急指挥部负责，备案每一次的演练的具体方案。按照预案的要求，接警后各就各位，各负其责，统一听从现场总指挥的号令。在每次演练结束后，及时对演练过程进行分析、总结和评价并及时对照或修改、补充应急预案，使应急预案和演练能对突发环境污染事件起到积极的制止消除作用。</w:t>
      </w:r>
      <w:bookmarkStart w:id="378" w:name="_Toc241829091"/>
    </w:p>
    <w:p>
      <w:pPr>
        <w:pStyle w:val="132"/>
      </w:pPr>
      <w:bookmarkStart w:id="379" w:name="_Toc463949150"/>
      <w:bookmarkStart w:id="380" w:name="_Toc1151"/>
      <w:bookmarkStart w:id="381" w:name="_Toc505945753"/>
      <w:bookmarkStart w:id="382" w:name="_Toc399770067"/>
      <w:bookmarkStart w:id="383" w:name="_Toc253307743"/>
      <w:bookmarkStart w:id="384" w:name="_Toc244838240"/>
      <w:bookmarkStart w:id="385" w:name="_Toc10170"/>
      <w:r>
        <w:rPr>
          <w:rFonts w:hint="eastAsia"/>
        </w:rPr>
        <w:t>应急演练的评价、总结与追踪</w:t>
      </w:r>
      <w:bookmarkEnd w:id="378"/>
      <w:bookmarkEnd w:id="379"/>
      <w:bookmarkEnd w:id="380"/>
      <w:bookmarkEnd w:id="381"/>
      <w:bookmarkEnd w:id="382"/>
      <w:bookmarkEnd w:id="383"/>
      <w:bookmarkEnd w:id="384"/>
      <w:bookmarkEnd w:id="385"/>
    </w:p>
    <w:p>
      <w:pPr>
        <w:pStyle w:val="124"/>
        <w:ind w:firstLine="560"/>
      </w:pPr>
      <w:r>
        <w:rPr>
          <w:rFonts w:hint="eastAsia"/>
        </w:rPr>
        <w:t>每一次演习结束，都要组织相关人员对整个演习过程进行全面正确的评价，及时进行总结，组织力量针对演习过程中出现的问题以及需要保持的内容对预案进行修编完善。演练的组织和预防的修编都要报上级主管部门登记备案；现场指挥组做好演练的详细计划，实施记录及台帐管理；现场指挥组要对培训和演练进行督导。</w:t>
      </w:r>
    </w:p>
    <w:p>
      <w:pPr>
        <w:tabs>
          <w:tab w:val="left" w:pos="960"/>
        </w:tabs>
        <w:ind w:firstLine="420"/>
        <w:rPr>
          <w:rFonts w:eastAsia="仿宋"/>
        </w:rPr>
      </w:pPr>
    </w:p>
    <w:p>
      <w:pPr>
        <w:tabs>
          <w:tab w:val="left" w:pos="960"/>
        </w:tabs>
        <w:ind w:firstLine="420"/>
        <w:rPr>
          <w:rFonts w:eastAsia="仿宋"/>
        </w:rPr>
      </w:pPr>
    </w:p>
    <w:p>
      <w:pPr>
        <w:pStyle w:val="43"/>
        <w:ind w:firstLine="883"/>
      </w:pPr>
      <w:bookmarkStart w:id="386" w:name="_Toc26688"/>
      <w:bookmarkStart w:id="387" w:name="_Toc9564"/>
      <w:bookmarkStart w:id="388" w:name="_Toc505945761"/>
      <w:bookmarkStart w:id="389" w:name="_Toc481858239"/>
      <w:bookmarkStart w:id="390" w:name="_Toc2943"/>
      <w:bookmarkStart w:id="391" w:name="_Toc9159"/>
      <w:bookmarkStart w:id="392" w:name="_Toc27228"/>
      <w:bookmarkStart w:id="393" w:name="_Toc48"/>
      <w:r>
        <w:rPr>
          <w:rFonts w:hint="eastAsia"/>
        </w:rPr>
        <w:t>责任</w:t>
      </w:r>
      <w:r>
        <w:t>与奖惩</w:t>
      </w:r>
      <w:bookmarkEnd w:id="386"/>
      <w:bookmarkEnd w:id="387"/>
      <w:bookmarkEnd w:id="388"/>
      <w:bookmarkEnd w:id="389"/>
      <w:bookmarkEnd w:id="390"/>
      <w:bookmarkEnd w:id="391"/>
      <w:bookmarkEnd w:id="392"/>
      <w:bookmarkEnd w:id="393"/>
    </w:p>
    <w:p>
      <w:pPr>
        <w:pStyle w:val="124"/>
        <w:ind w:firstLine="560"/>
      </w:pPr>
      <w:r>
        <w:rPr>
          <w:rFonts w:hint="eastAsia"/>
        </w:rPr>
        <w:t>1、在事故应急工作中有下列事迹之一的部门和个人，由公司给予表彰或者奖励：</w:t>
      </w:r>
    </w:p>
    <w:p>
      <w:pPr>
        <w:pStyle w:val="124"/>
        <w:ind w:firstLine="560"/>
      </w:pPr>
      <w:r>
        <w:rPr>
          <w:rFonts w:hint="eastAsia"/>
        </w:rPr>
        <w:t>（1）完成应急响应任务的；</w:t>
      </w:r>
    </w:p>
    <w:p>
      <w:pPr>
        <w:pStyle w:val="124"/>
        <w:ind w:firstLine="560"/>
      </w:pPr>
      <w:r>
        <w:rPr>
          <w:rFonts w:hint="eastAsia"/>
        </w:rPr>
        <w:t>（2）保护人身、设备安全，成绩显著的；</w:t>
      </w:r>
    </w:p>
    <w:p>
      <w:pPr>
        <w:pStyle w:val="124"/>
        <w:ind w:firstLine="560"/>
      </w:pPr>
      <w:r>
        <w:rPr>
          <w:rFonts w:hint="eastAsia"/>
        </w:rPr>
        <w:t>（3）对事故应急准备与响应提出重大建议，实施效果显著的；</w:t>
      </w:r>
    </w:p>
    <w:p>
      <w:pPr>
        <w:pStyle w:val="124"/>
        <w:ind w:firstLine="560"/>
      </w:pPr>
      <w:r>
        <w:rPr>
          <w:rFonts w:hint="eastAsia"/>
        </w:rPr>
        <w:t>（4）危害危险因素预报和测报准确及时，从而减轻损失的；</w:t>
      </w:r>
    </w:p>
    <w:p>
      <w:pPr>
        <w:pStyle w:val="124"/>
        <w:ind w:firstLine="560"/>
      </w:pPr>
      <w:r>
        <w:rPr>
          <w:rFonts w:hint="eastAsia"/>
        </w:rPr>
        <w:t>（5）有其它特殊贡献的。</w:t>
      </w:r>
    </w:p>
    <w:p>
      <w:pPr>
        <w:pStyle w:val="124"/>
        <w:ind w:firstLine="560"/>
      </w:pPr>
      <w:r>
        <w:rPr>
          <w:rFonts w:hint="eastAsia"/>
        </w:rPr>
        <w:t>2、有下列行为之一的，对有关责任人员视情节和危害后果，由公司给予行政处分；属于违反治安管理行为的，由公安机关依照治安管理处罚条例的规定予以处罚；构成犯罪的，由司法机关依法追究刑事责任：</w:t>
      </w:r>
    </w:p>
    <w:p>
      <w:pPr>
        <w:pStyle w:val="124"/>
        <w:ind w:firstLine="560"/>
      </w:pPr>
      <w:r>
        <w:rPr>
          <w:rFonts w:hint="eastAsia"/>
        </w:rPr>
        <w:t>（1）不按照规定制定事故应急计划，拒绝承担事故应急准备义务；</w:t>
      </w:r>
    </w:p>
    <w:p>
      <w:pPr>
        <w:pStyle w:val="124"/>
        <w:ind w:firstLine="560"/>
      </w:pPr>
      <w:r>
        <w:rPr>
          <w:rFonts w:hint="eastAsia"/>
        </w:rPr>
        <w:t>（2）玩忽职守，引起事故发生；</w:t>
      </w:r>
    </w:p>
    <w:p>
      <w:pPr>
        <w:pStyle w:val="124"/>
        <w:ind w:firstLine="560"/>
      </w:pPr>
      <w:r>
        <w:rPr>
          <w:rFonts w:hint="eastAsia"/>
        </w:rPr>
        <w:t>（3）不按照规定报告、通报事故真实情况；</w:t>
      </w:r>
    </w:p>
    <w:p>
      <w:pPr>
        <w:pStyle w:val="124"/>
        <w:ind w:firstLine="560"/>
      </w:pPr>
      <w:r>
        <w:rPr>
          <w:rFonts w:hint="eastAsia"/>
        </w:rPr>
        <w:t>（4）拒不执行事故应急计划，不服从命令和指挥，或者在事故应急响应时临阵脱逃；</w:t>
      </w:r>
    </w:p>
    <w:p>
      <w:pPr>
        <w:pStyle w:val="124"/>
        <w:ind w:firstLine="560"/>
      </w:pPr>
      <w:r>
        <w:rPr>
          <w:rFonts w:hint="eastAsia"/>
        </w:rPr>
        <w:t>（5）盗窃、私自挪用事故应急工作所用物资；</w:t>
      </w:r>
    </w:p>
    <w:p>
      <w:pPr>
        <w:pStyle w:val="124"/>
        <w:ind w:firstLine="560"/>
      </w:pPr>
      <w:r>
        <w:rPr>
          <w:rFonts w:hint="eastAsia"/>
        </w:rPr>
        <w:t>（6）阻碍事故应急工作人员依法执行职务或者进行破坏活动；</w:t>
      </w:r>
    </w:p>
    <w:p>
      <w:pPr>
        <w:pStyle w:val="124"/>
        <w:ind w:firstLine="560"/>
      </w:pPr>
      <w:r>
        <w:rPr>
          <w:rFonts w:hint="eastAsia"/>
        </w:rPr>
        <w:t>（7）散布谣言，扰乱企业安全生产秩序；</w:t>
      </w:r>
    </w:p>
    <w:p>
      <w:pPr>
        <w:pStyle w:val="124"/>
        <w:ind w:firstLine="560"/>
      </w:pPr>
      <w:r>
        <w:rPr>
          <w:rFonts w:hint="eastAsia"/>
        </w:rPr>
        <w:t>（8）有其它对事故应急工作造成危害的行为。</w:t>
      </w:r>
    </w:p>
    <w:p>
      <w:pPr>
        <w:tabs>
          <w:tab w:val="left" w:pos="960"/>
        </w:tabs>
        <w:ind w:firstLine="560"/>
        <w:rPr>
          <w:rFonts w:ascii="Times New Roman" w:hAnsi="Times New Roman" w:eastAsia="仿宋"/>
          <w:bCs/>
          <w:iCs/>
          <w:sz w:val="28"/>
          <w:szCs w:val="28"/>
          <w:lang w:bidi="en-US"/>
        </w:rPr>
      </w:pPr>
    </w:p>
    <w:p>
      <w:pPr>
        <w:tabs>
          <w:tab w:val="left" w:pos="960"/>
        </w:tabs>
        <w:ind w:firstLine="420"/>
        <w:rPr>
          <w:rFonts w:eastAsia="仿宋"/>
        </w:rPr>
      </w:pPr>
    </w:p>
    <w:p>
      <w:pPr>
        <w:pStyle w:val="124"/>
        <w:ind w:firstLine="560"/>
      </w:pPr>
    </w:p>
    <w:p>
      <w:pPr>
        <w:pStyle w:val="43"/>
        <w:ind w:firstLine="883"/>
      </w:pPr>
      <w:bookmarkStart w:id="394" w:name="_Toc28981"/>
      <w:bookmarkStart w:id="395" w:name="_Toc12773"/>
      <w:bookmarkStart w:id="396" w:name="_Toc505945762"/>
      <w:bookmarkStart w:id="397" w:name="_Toc30742"/>
      <w:bookmarkStart w:id="398" w:name="_Toc6191"/>
      <w:r>
        <w:rPr>
          <w:rFonts w:hint="eastAsia"/>
        </w:rPr>
        <w:t>应急保障</w:t>
      </w:r>
      <w:bookmarkEnd w:id="291"/>
      <w:bookmarkEnd w:id="394"/>
      <w:bookmarkEnd w:id="395"/>
      <w:bookmarkEnd w:id="396"/>
      <w:bookmarkEnd w:id="397"/>
      <w:bookmarkEnd w:id="398"/>
    </w:p>
    <w:p>
      <w:pPr>
        <w:pStyle w:val="124"/>
        <w:ind w:firstLine="560"/>
      </w:pPr>
      <w:r>
        <w:rPr>
          <w:rFonts w:hint="eastAsia"/>
        </w:rPr>
        <w:t>新疆福克油品股份有限公司应急保障主要包括人力资源、资金、物资、通讯、医疗、交通、技术、外部力量等各类保障。</w:t>
      </w:r>
    </w:p>
    <w:p>
      <w:pPr>
        <w:pStyle w:val="131"/>
      </w:pPr>
      <w:bookmarkStart w:id="399" w:name="_Toc29916"/>
      <w:bookmarkStart w:id="400" w:name="_Toc6377"/>
      <w:bookmarkStart w:id="401" w:name="_Toc463949128"/>
      <w:bookmarkStart w:id="402" w:name="_Toc505945763"/>
      <w:r>
        <w:rPr>
          <w:rFonts w:hint="eastAsia"/>
        </w:rPr>
        <w:t>人力资源保障</w:t>
      </w:r>
      <w:bookmarkEnd w:id="399"/>
      <w:bookmarkEnd w:id="400"/>
      <w:bookmarkEnd w:id="401"/>
      <w:bookmarkEnd w:id="402"/>
    </w:p>
    <w:p>
      <w:pPr>
        <w:pStyle w:val="124"/>
        <w:ind w:firstLine="560"/>
      </w:pPr>
      <w:r>
        <w:rPr>
          <w:rFonts w:hint="eastAsia"/>
        </w:rPr>
        <w:t>新疆福克油品股份有限公司共有员工82人，工作人员每年定期和不定期的开展环境风险和应急管理宣传培训，岗位人员每年组织一次再培训。</w:t>
      </w:r>
    </w:p>
    <w:p>
      <w:pPr>
        <w:pStyle w:val="124"/>
        <w:ind w:firstLine="560"/>
      </w:pPr>
      <w:r>
        <w:rPr>
          <w:rFonts w:hint="eastAsia"/>
        </w:rPr>
        <w:t>由企业突发环境事故处理指挥领导小组组织建立一支突发环境污染事故应急救援专业队伍，配置应急救援器材等实施应急救援。抢险救援各组要加强训练，针对模拟事故进行应急演练，并加强救援和管理人员的培训，建立定期演练制度，确保救援队伍能适应紧急抢险救援的需要。在突发环境事故发生后，能迅速参与并完成抢救、排险、消毒等现场处置工作。并对厂内员工进行专业培训与教育，通过定期演练要求每位厂内工作人员都具备一定的应急能力，使厂内工作人员成为企业的兼职应急队伍，在发生环境突发事件时，能够积极配合专业队伍的应急处置，在专业应急队伍人手不足时能及时参与救援行动中，协助完成应急救援。</w:t>
      </w:r>
    </w:p>
    <w:p>
      <w:pPr>
        <w:pStyle w:val="124"/>
        <w:ind w:firstLine="560"/>
        <w:rPr>
          <w:color w:val="000000" w:themeColor="text1"/>
          <w14:textFill>
            <w14:solidFill>
              <w14:schemeClr w14:val="tx1"/>
            </w14:solidFill>
          </w14:textFill>
        </w:rPr>
      </w:pPr>
      <w:r>
        <w:rPr>
          <w:rFonts w:hint="eastAsia"/>
          <w:color w:val="000000" w:themeColor="text1"/>
          <w14:textFill>
            <w14:solidFill>
              <w14:schemeClr w14:val="tx1"/>
            </w14:solidFill>
          </w14:textFill>
        </w:rPr>
        <w:t>应急组织机构组成中，应急</w:t>
      </w:r>
      <w:r>
        <w:rPr>
          <w:rFonts w:hint="eastAsia"/>
          <w:color w:val="000000" w:themeColor="text1"/>
          <w:lang w:val="en-US" w:eastAsia="zh-CN"/>
          <w14:textFill>
            <w14:solidFill>
              <w14:schemeClr w14:val="tx1"/>
            </w14:solidFill>
          </w14:textFill>
        </w:rPr>
        <w:t>指挥</w:t>
      </w:r>
      <w:r>
        <w:rPr>
          <w:rFonts w:hint="eastAsia"/>
          <w:color w:val="000000" w:themeColor="text1"/>
          <w14:textFill>
            <w14:solidFill>
              <w14:schemeClr w14:val="tx1"/>
            </w14:solidFill>
          </w14:textFill>
        </w:rPr>
        <w:t>组由涂晶</w:t>
      </w:r>
      <w:r>
        <w:rPr>
          <w:rFonts w:hint="eastAsia"/>
          <w:color w:val="000000" w:themeColor="text1"/>
          <w:lang w:val="en-US" w:eastAsia="zh-CN"/>
          <w14:textFill>
            <w14:solidFill>
              <w14:schemeClr w14:val="tx1"/>
            </w14:solidFill>
          </w14:textFill>
        </w:rPr>
        <w:t>和赵博书记</w:t>
      </w:r>
      <w:r>
        <w:rPr>
          <w:rFonts w:hint="eastAsia"/>
          <w:color w:val="000000" w:themeColor="text1"/>
          <w14:textFill>
            <w14:solidFill>
              <w14:schemeClr w14:val="tx1"/>
            </w14:solidFill>
          </w14:textFill>
        </w:rPr>
        <w:t>组成；事故抢险组由</w:t>
      </w:r>
      <w:r>
        <w:rPr>
          <w:rFonts w:hint="eastAsia"/>
          <w:color w:val="000000" w:themeColor="text1"/>
          <w:lang w:val="en-US" w:eastAsia="zh-CN"/>
          <w14:textFill>
            <w14:solidFill>
              <w14:schemeClr w14:val="tx1"/>
            </w14:solidFill>
          </w14:textFill>
        </w:rPr>
        <w:t>陈磊带</w:t>
      </w:r>
      <w:r>
        <w:rPr>
          <w:rFonts w:hint="eastAsia"/>
          <w:color w:val="000000" w:themeColor="text1"/>
          <w14:textFill>
            <w14:solidFill>
              <w14:schemeClr w14:val="tx1"/>
            </w14:solidFill>
          </w14:textFill>
        </w:rPr>
        <w:t>领</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名</w:t>
      </w:r>
      <w:r>
        <w:rPr>
          <w:rFonts w:hint="eastAsia"/>
          <w:color w:val="000000" w:themeColor="text1"/>
          <w:lang w:val="en-US" w:eastAsia="zh-CN"/>
          <w14:textFill>
            <w14:solidFill>
              <w14:schemeClr w14:val="tx1"/>
            </w14:solidFill>
          </w14:textFill>
        </w:rPr>
        <w:t>操作</w:t>
      </w:r>
      <w:r>
        <w:rPr>
          <w:rFonts w:hint="eastAsia"/>
          <w:color w:val="000000" w:themeColor="text1"/>
          <w14:textFill>
            <w14:solidFill>
              <w14:schemeClr w14:val="tx1"/>
            </w14:solidFill>
          </w14:textFill>
        </w:rPr>
        <w:t>人员组成；医疗救援组由</w:t>
      </w:r>
      <w:r>
        <w:rPr>
          <w:rFonts w:hint="eastAsia"/>
          <w:color w:val="000000" w:themeColor="text1"/>
          <w:lang w:val="en-US" w:eastAsia="zh-CN"/>
          <w14:textFill>
            <w14:solidFill>
              <w14:schemeClr w14:val="tx1"/>
            </w14:solidFill>
          </w14:textFill>
        </w:rPr>
        <w:t>陈超</w:t>
      </w:r>
      <w:r>
        <w:rPr>
          <w:rFonts w:hint="eastAsia"/>
          <w:color w:val="000000" w:themeColor="text1"/>
          <w14:textFill>
            <w14:solidFill>
              <w14:schemeClr w14:val="tx1"/>
            </w14:solidFill>
          </w14:textFill>
        </w:rPr>
        <w:t>带领</w:t>
      </w:r>
      <w:r>
        <w:rPr>
          <w:rFonts w:hint="eastAsia"/>
          <w:color w:val="000000" w:themeColor="text1"/>
          <w:lang w:val="en-US" w:eastAsia="zh-CN"/>
          <w14:textFill>
            <w14:solidFill>
              <w14:schemeClr w14:val="tx1"/>
            </w14:solidFill>
          </w14:textFill>
        </w:rPr>
        <w:t>2</w:t>
      </w:r>
      <w:r>
        <w:rPr>
          <w:rFonts w:hint="eastAsia"/>
          <w:color w:val="000000" w:themeColor="text1"/>
          <w14:textFill>
            <w14:solidFill>
              <w14:schemeClr w14:val="tx1"/>
            </w14:solidFill>
          </w14:textFill>
        </w:rPr>
        <w:t>名</w:t>
      </w:r>
      <w:r>
        <w:rPr>
          <w:rFonts w:hint="eastAsia"/>
          <w:color w:val="000000" w:themeColor="text1"/>
          <w:lang w:val="en-US" w:eastAsia="zh-CN"/>
          <w14:textFill>
            <w14:solidFill>
              <w14:schemeClr w14:val="tx1"/>
            </w14:solidFill>
          </w14:textFill>
        </w:rPr>
        <w:t>工作</w:t>
      </w:r>
      <w:r>
        <w:rPr>
          <w:rFonts w:hint="eastAsia"/>
          <w:color w:val="000000" w:themeColor="text1"/>
          <w14:textFill>
            <w14:solidFill>
              <w14:schemeClr w14:val="tx1"/>
            </w14:solidFill>
          </w14:textFill>
        </w:rPr>
        <w:t>人员组成，</w:t>
      </w:r>
      <w:r>
        <w:rPr>
          <w:rFonts w:hint="eastAsia"/>
          <w:color w:val="000000" w:themeColor="text1"/>
          <w:lang w:val="en-US" w:eastAsia="zh-CN"/>
          <w14:textFill>
            <w14:solidFill>
              <w14:schemeClr w14:val="tx1"/>
            </w14:solidFill>
          </w14:textFill>
        </w:rPr>
        <w:t>后勤保障</w:t>
      </w:r>
      <w:r>
        <w:rPr>
          <w:rFonts w:hint="eastAsia"/>
          <w:color w:val="000000" w:themeColor="text1"/>
          <w14:textFill>
            <w14:solidFill>
              <w14:schemeClr w14:val="tx1"/>
            </w14:solidFill>
          </w14:textFill>
        </w:rPr>
        <w:t>组由</w:t>
      </w:r>
      <w:r>
        <w:rPr>
          <w:rFonts w:hint="eastAsia"/>
          <w:color w:val="000000" w:themeColor="text1"/>
          <w:lang w:val="en-US" w:eastAsia="zh-CN"/>
          <w14:textFill>
            <w14:solidFill>
              <w14:schemeClr w14:val="tx1"/>
            </w14:solidFill>
          </w14:textFill>
        </w:rPr>
        <w:t>元凯</w:t>
      </w:r>
      <w:r>
        <w:rPr>
          <w:rFonts w:hint="eastAsia"/>
          <w:color w:val="000000" w:themeColor="text1"/>
          <w14:textFill>
            <w14:solidFill>
              <w14:schemeClr w14:val="tx1"/>
            </w14:solidFill>
          </w14:textFill>
        </w:rPr>
        <w:t>带领</w:t>
      </w:r>
      <w:r>
        <w:rPr>
          <w:rFonts w:hint="eastAsia"/>
          <w:color w:val="000000" w:themeColor="text1"/>
          <w:lang w:val="en-US" w:eastAsia="zh-CN"/>
          <w14:textFill>
            <w14:solidFill>
              <w14:schemeClr w14:val="tx1"/>
            </w14:solidFill>
          </w14:textFill>
        </w:rPr>
        <w:t>3</w:t>
      </w:r>
      <w:r>
        <w:rPr>
          <w:rFonts w:hint="eastAsia"/>
          <w:color w:val="000000" w:themeColor="text1"/>
          <w14:textFill>
            <w14:solidFill>
              <w14:schemeClr w14:val="tx1"/>
            </w14:solidFill>
          </w14:textFill>
        </w:rPr>
        <w:t>名</w:t>
      </w:r>
      <w:r>
        <w:rPr>
          <w:rFonts w:hint="eastAsia"/>
          <w:color w:val="000000" w:themeColor="text1"/>
          <w:lang w:val="en-US" w:eastAsia="zh-CN"/>
          <w14:textFill>
            <w14:solidFill>
              <w14:schemeClr w14:val="tx1"/>
            </w14:solidFill>
          </w14:textFill>
        </w:rPr>
        <w:t>工作</w:t>
      </w:r>
      <w:r>
        <w:rPr>
          <w:rFonts w:hint="eastAsia"/>
          <w:color w:val="000000" w:themeColor="text1"/>
          <w14:textFill>
            <w14:solidFill>
              <w14:schemeClr w14:val="tx1"/>
            </w14:solidFill>
          </w14:textFill>
        </w:rPr>
        <w:t>人员组成，</w:t>
      </w:r>
      <w:r>
        <w:rPr>
          <w:rFonts w:hint="eastAsia"/>
          <w:color w:val="000000" w:themeColor="text1"/>
          <w:lang w:val="en-US" w:eastAsia="zh-CN"/>
          <w14:textFill>
            <w14:solidFill>
              <w14:schemeClr w14:val="tx1"/>
            </w14:solidFill>
          </w14:textFill>
        </w:rPr>
        <w:t>技术</w:t>
      </w:r>
      <w:r>
        <w:rPr>
          <w:rFonts w:hint="eastAsia"/>
          <w:color w:val="000000" w:themeColor="text1"/>
          <w14:textFill>
            <w14:solidFill>
              <w14:schemeClr w14:val="tx1"/>
            </w14:solidFill>
          </w14:textFill>
        </w:rPr>
        <w:t>组由</w:t>
      </w:r>
      <w:r>
        <w:rPr>
          <w:rFonts w:hint="eastAsia" w:ascii="仿宋" w:hAnsi="仿宋"/>
          <w:bCs w:val="0"/>
          <w:iCs w:val="0"/>
          <w:color w:val="000000" w:themeColor="text1"/>
          <w:highlight w:val="none"/>
          <w:lang w:val="en-US" w:eastAsia="zh-CN"/>
          <w14:textFill>
            <w14:solidFill>
              <w14:schemeClr w14:val="tx1"/>
            </w14:solidFill>
          </w14:textFill>
        </w:rPr>
        <w:t>张寒峰</w:t>
      </w:r>
      <w:r>
        <w:rPr>
          <w:rFonts w:hint="eastAsia"/>
          <w:color w:val="000000" w:themeColor="text1"/>
          <w14:textFill>
            <w14:solidFill>
              <w14:schemeClr w14:val="tx1"/>
            </w14:solidFill>
          </w14:textFill>
        </w:rPr>
        <w:t>带领4名技术人员组成，</w:t>
      </w:r>
      <w:r>
        <w:rPr>
          <w:rFonts w:hint="eastAsia"/>
          <w:color w:val="000000" w:themeColor="text1"/>
          <w:lang w:val="en-US" w:eastAsia="zh-CN"/>
          <w14:textFill>
            <w14:solidFill>
              <w14:schemeClr w14:val="tx1"/>
            </w14:solidFill>
          </w14:textFill>
        </w:rPr>
        <w:t>通讯组由王金负责。人员配置</w:t>
      </w:r>
      <w:r>
        <w:rPr>
          <w:rFonts w:hint="eastAsia"/>
          <w:color w:val="000000" w:themeColor="text1"/>
          <w14:textFill>
            <w14:solidFill>
              <w14:schemeClr w14:val="tx1"/>
            </w14:solidFill>
          </w14:textFill>
        </w:rPr>
        <w:t>基本可满足一般、较大事件的处置。</w:t>
      </w:r>
    </w:p>
    <w:p>
      <w:pPr>
        <w:pStyle w:val="131"/>
      </w:pPr>
      <w:bookmarkStart w:id="403" w:name="_Toc463949129"/>
      <w:bookmarkStart w:id="404" w:name="_Toc13319"/>
      <w:bookmarkStart w:id="405" w:name="_Toc21503"/>
      <w:bookmarkStart w:id="406" w:name="_Toc505945764"/>
      <w:r>
        <w:rPr>
          <w:rFonts w:hint="eastAsia"/>
        </w:rPr>
        <w:t>资金保障</w:t>
      </w:r>
      <w:bookmarkEnd w:id="403"/>
      <w:bookmarkEnd w:id="404"/>
      <w:bookmarkEnd w:id="405"/>
      <w:bookmarkEnd w:id="406"/>
    </w:p>
    <w:p>
      <w:pPr>
        <w:pStyle w:val="124"/>
        <w:ind w:firstLine="560"/>
      </w:pPr>
      <w:bookmarkStart w:id="407" w:name="_Toc25725"/>
      <w:bookmarkStart w:id="408" w:name="_Toc505945765"/>
      <w:bookmarkStart w:id="409" w:name="_Toc463949130"/>
      <w:r>
        <w:rPr>
          <w:rFonts w:hint="eastAsia"/>
        </w:rPr>
        <w:t>新疆福克油品股份有限公司设立专门的事故预防与应急救援资金。公司预算中每年从生产中提取安措费，应急资金从安措费中列支。</w:t>
      </w:r>
    </w:p>
    <w:p>
      <w:pPr>
        <w:pStyle w:val="124"/>
        <w:ind w:firstLine="560"/>
      </w:pPr>
      <w:r>
        <w:rPr>
          <w:rFonts w:hint="eastAsia"/>
        </w:rPr>
        <w:t>应急资金由财务总监提出（包括应急基础设施建设及运行、应急装备、应急技术支持、培训及演练等）项目支出需求，财务部审核后，由总经理负责审批作为专项资金，专款专用，并能随时取出。根据应急救援的需要和现场储备物资的损耗情况，及时向生产技术部申报采购、更新计划，财务部从资金上予以保证。紧急情况下缺多少补多少，确保应急救援需要。</w:t>
      </w:r>
    </w:p>
    <w:p>
      <w:pPr>
        <w:pStyle w:val="131"/>
      </w:pPr>
      <w:bookmarkStart w:id="410" w:name="_Toc11904"/>
      <w:r>
        <w:rPr>
          <w:rFonts w:hint="eastAsia"/>
        </w:rPr>
        <w:t>应急</w:t>
      </w:r>
      <w:r>
        <w:t>队伍保障</w:t>
      </w:r>
      <w:bookmarkEnd w:id="410"/>
    </w:p>
    <w:p>
      <w:pPr>
        <w:pStyle w:val="124"/>
        <w:ind w:firstLine="560"/>
      </w:pPr>
      <w:r>
        <w:rPr>
          <w:rFonts w:hint="eastAsia"/>
        </w:rPr>
        <w:t>公司应加强环境应急队伍的建设，培训一支常备不懈，熟悉环境应急知识，充分掌握公司突发环境事件处置措施的预备应急力量，保证在处置突发环境事件中能迅速参与并完成抢救、排险、消毒等现场处置工作，并形成应急网络，确保在事件发生时，能迅速控制污染、减少危害，确保环境和公众安全。</w:t>
      </w:r>
    </w:p>
    <w:p>
      <w:pPr>
        <w:pStyle w:val="131"/>
      </w:pPr>
      <w:bookmarkStart w:id="411" w:name="_Toc21681"/>
      <w:r>
        <w:rPr>
          <w:rFonts w:hint="eastAsia"/>
        </w:rPr>
        <w:t>交通</w:t>
      </w:r>
      <w:r>
        <w:t>运输保障</w:t>
      </w:r>
      <w:bookmarkEnd w:id="411"/>
    </w:p>
    <w:p>
      <w:pPr>
        <w:pStyle w:val="124"/>
        <w:ind w:firstLine="560"/>
      </w:pPr>
      <w:r>
        <w:rPr>
          <w:rFonts w:hint="eastAsia"/>
        </w:rPr>
        <w:t>事故交通运输由指定的专门车辆负责，平时由物资供应组指定运输组定期对车辆进行保养、检修，确保车辆车况良好。</w:t>
      </w:r>
    </w:p>
    <w:p>
      <w:pPr>
        <w:pStyle w:val="131"/>
      </w:pPr>
      <w:bookmarkStart w:id="412" w:name="_Toc10412"/>
      <w:r>
        <w:rPr>
          <w:rFonts w:hint="eastAsia"/>
        </w:rPr>
        <w:t>通讯</w:t>
      </w:r>
      <w:r>
        <w:t>与信息保障</w:t>
      </w:r>
      <w:bookmarkEnd w:id="412"/>
    </w:p>
    <w:p>
      <w:pPr>
        <w:pStyle w:val="124"/>
        <w:ind w:firstLine="560"/>
      </w:pPr>
      <w:r>
        <w:rPr>
          <w:rFonts w:hint="eastAsia"/>
        </w:rPr>
        <w:t>新疆福克油品股份有限公司建立内部通讯信息网络，连接内部所有部门和人员。个人手机应急联络方式24小时开机，保证通讯联系畅通，</w:t>
      </w:r>
      <w:r>
        <w:t>不得无故关闭</w:t>
      </w:r>
      <w:r>
        <w:rPr>
          <w:rFonts w:hint="eastAsia"/>
        </w:rPr>
        <w:t>。企业应急物资仓库设置广播、报警器等应急设备，用于应急状态下使用。</w:t>
      </w:r>
    </w:p>
    <w:p>
      <w:pPr>
        <w:pStyle w:val="124"/>
        <w:ind w:firstLine="560"/>
      </w:pPr>
      <w:r>
        <w:rPr>
          <w:rFonts w:hint="eastAsia"/>
        </w:rPr>
        <w:t>此外，新疆福克油品股份有限公司与周围企业和相关外部救援单位，包括乌市环保局、乌市安监局、消防队、人民医院急诊、乌市监测站及附近企业等建立信息互通机制和通讯网络，保证应急状态下可随时联系，电话号码见附件2。</w:t>
      </w:r>
    </w:p>
    <w:p>
      <w:pPr>
        <w:pStyle w:val="124"/>
        <w:ind w:firstLine="560"/>
      </w:pPr>
      <w:r>
        <w:rPr>
          <w:rFonts w:hint="eastAsia"/>
        </w:rPr>
        <w:t>通讯与信息保障由车间主任负责，定期对通讯设备、应急电力设备进行全面检查，还负责对内部人员移动电话变更进行报备登记。</w:t>
      </w:r>
    </w:p>
    <w:p>
      <w:pPr>
        <w:pStyle w:val="131"/>
      </w:pPr>
      <w:bookmarkStart w:id="413" w:name="_Toc25091"/>
      <w:r>
        <w:rPr>
          <w:rFonts w:hint="eastAsia"/>
        </w:rPr>
        <w:t>应急</w:t>
      </w:r>
      <w:r>
        <w:t>装备</w:t>
      </w:r>
      <w:r>
        <w:rPr>
          <w:rFonts w:hint="eastAsia"/>
        </w:rPr>
        <w:t>保障</w:t>
      </w:r>
      <w:bookmarkEnd w:id="407"/>
      <w:bookmarkEnd w:id="408"/>
      <w:bookmarkEnd w:id="409"/>
      <w:bookmarkEnd w:id="413"/>
    </w:p>
    <w:p>
      <w:pPr>
        <w:pStyle w:val="124"/>
        <w:ind w:firstLine="560"/>
      </w:pPr>
      <w:r>
        <w:rPr>
          <w:rFonts w:hint="eastAsia"/>
        </w:rPr>
        <w:t>仓库储备足够数量的应急救援物资；经营部制定应急救援物资紧急调拨措施，保证救援物资的随时调拨。</w:t>
      </w:r>
    </w:p>
    <w:p>
      <w:pPr>
        <w:pStyle w:val="124"/>
        <w:ind w:firstLine="560"/>
      </w:pPr>
      <w:r>
        <w:rPr>
          <w:rFonts w:hint="eastAsia"/>
        </w:rPr>
        <w:t>结合公司的情况，应急物资装备保障工作由物资供应组负责，主要包括对各类物资定时检查清点，对不足部分和临近有效期的物资及时补充和更新。负责人：</w:t>
      </w:r>
      <w:r>
        <w:rPr>
          <w:rFonts w:hint="eastAsia"/>
          <w:lang w:val="en-US" w:eastAsia="zh-CN"/>
        </w:rPr>
        <w:t>袁凯</w:t>
      </w:r>
      <w:r>
        <w:rPr>
          <w:rFonts w:hint="eastAsia"/>
          <w:color w:val="000000" w:themeColor="text1"/>
          <w14:textFill>
            <w14:solidFill>
              <w14:schemeClr w14:val="tx1"/>
            </w14:solidFill>
          </w14:textFill>
        </w:rPr>
        <w:t>，电话：1</w:t>
      </w:r>
      <w:r>
        <w:rPr>
          <w:rFonts w:hint="eastAsia"/>
          <w:color w:val="000000" w:themeColor="text1"/>
          <w:lang w:val="en-US" w:eastAsia="zh-CN"/>
          <w14:textFill>
            <w14:solidFill>
              <w14:schemeClr w14:val="tx1"/>
            </w14:solidFill>
          </w14:textFill>
        </w:rPr>
        <w:t>5714972887</w:t>
      </w:r>
      <w:r>
        <w:rPr>
          <w:rFonts w:hint="eastAsia"/>
          <w:color w:val="000000" w:themeColor="text1"/>
          <w14:textFill>
            <w14:solidFill>
              <w14:schemeClr w14:val="tx1"/>
            </w14:solidFill>
          </w14:textFill>
        </w:rPr>
        <w:t>。</w:t>
      </w:r>
      <w:r>
        <w:rPr>
          <w:rFonts w:hint="eastAsia"/>
        </w:rPr>
        <w:t>企业储备物资见应急资源调查报告。</w:t>
      </w:r>
    </w:p>
    <w:p>
      <w:pPr>
        <w:pStyle w:val="131"/>
      </w:pPr>
      <w:bookmarkStart w:id="414" w:name="_Toc154"/>
      <w:bookmarkStart w:id="415" w:name="_Toc15191"/>
      <w:bookmarkStart w:id="416" w:name="_Toc505945766"/>
      <w:bookmarkStart w:id="417" w:name="_Toc463949131"/>
      <w:r>
        <w:rPr>
          <w:rFonts w:hint="eastAsia"/>
        </w:rPr>
        <w:t>医疗卫生保障</w:t>
      </w:r>
      <w:bookmarkEnd w:id="414"/>
      <w:bookmarkEnd w:id="415"/>
      <w:bookmarkEnd w:id="416"/>
      <w:bookmarkEnd w:id="417"/>
    </w:p>
    <w:p>
      <w:pPr>
        <w:pStyle w:val="124"/>
        <w:ind w:firstLine="560"/>
        <w:rPr>
          <w:rFonts w:cs="Times New Roman"/>
          <w:color w:val="FF0000"/>
        </w:rPr>
      </w:pPr>
      <w:r>
        <w:rPr>
          <w:rFonts w:cs="Times New Roman"/>
        </w:rPr>
        <w:t>医疗救护组在事故发生后，快速对伤员进行简单应急救治，尽最大可能减少伤亡。在专业救援医疗队伍到来时，积极配合专业医疗队伍进行事故医疗</w:t>
      </w:r>
      <w:r>
        <w:rPr>
          <w:rFonts w:cs="Times New Roman"/>
          <w:color w:val="000000" w:themeColor="text1"/>
          <w14:textFill>
            <w14:solidFill>
              <w14:schemeClr w14:val="tx1"/>
            </w14:solidFill>
          </w14:textFill>
        </w:rPr>
        <w:t>救护。医疗应急设备及物资由</w:t>
      </w:r>
      <w:r>
        <w:rPr>
          <w:rFonts w:hint="eastAsia" w:cs="Times New Roman"/>
          <w:color w:val="000000" w:themeColor="text1"/>
          <w:lang w:val="en-US" w:eastAsia="zh-CN"/>
          <w14:textFill>
            <w14:solidFill>
              <w14:schemeClr w14:val="tx1"/>
            </w14:solidFill>
          </w14:textFill>
        </w:rPr>
        <w:t>陈超</w:t>
      </w:r>
      <w:r>
        <w:rPr>
          <w:rFonts w:cs="Times New Roman"/>
          <w:color w:val="000000" w:themeColor="text1"/>
          <w14:textFill>
            <w14:solidFill>
              <w14:schemeClr w14:val="tx1"/>
            </w14:solidFill>
          </w14:textFill>
        </w:rPr>
        <w:t>负责（电话：</w:t>
      </w:r>
      <w:r>
        <w:rPr>
          <w:rFonts w:hint="eastAsia"/>
          <w:color w:val="000000" w:themeColor="text1"/>
          <w14:textFill>
            <w14:solidFill>
              <w14:schemeClr w14:val="tx1"/>
            </w14:solidFill>
          </w14:textFill>
        </w:rPr>
        <w:t xml:space="preserve"> 1</w:t>
      </w:r>
      <w:r>
        <w:rPr>
          <w:rFonts w:hint="eastAsia"/>
          <w:color w:val="000000" w:themeColor="text1"/>
          <w:lang w:val="en-US" w:eastAsia="zh-CN"/>
          <w14:textFill>
            <w14:solidFill>
              <w14:schemeClr w14:val="tx1"/>
            </w14:solidFill>
          </w14:textFill>
        </w:rPr>
        <w:t>8690812256</w:t>
      </w:r>
      <w:r>
        <w:rPr>
          <w:rFonts w:cs="Times New Roman"/>
          <w:color w:val="000000" w:themeColor="text1"/>
          <w14:textFill>
            <w14:solidFill>
              <w14:schemeClr w14:val="tx1"/>
            </w14:solidFill>
          </w14:textFill>
        </w:rPr>
        <w:t>）。</w:t>
      </w:r>
    </w:p>
    <w:p>
      <w:pPr>
        <w:pStyle w:val="131"/>
      </w:pPr>
      <w:bookmarkStart w:id="418" w:name="_Toc28609"/>
      <w:bookmarkStart w:id="419" w:name="_Toc505945769"/>
      <w:bookmarkStart w:id="420" w:name="_Toc16858"/>
      <w:bookmarkStart w:id="421" w:name="_Toc463949134"/>
      <w:r>
        <w:rPr>
          <w:rFonts w:hint="eastAsia"/>
        </w:rPr>
        <w:t>科学技术保障</w:t>
      </w:r>
      <w:bookmarkEnd w:id="418"/>
      <w:bookmarkEnd w:id="419"/>
      <w:bookmarkEnd w:id="420"/>
      <w:bookmarkEnd w:id="421"/>
    </w:p>
    <w:p>
      <w:pPr>
        <w:pStyle w:val="124"/>
        <w:ind w:firstLine="560"/>
      </w:pPr>
      <w:r>
        <w:t>充分利用现有的技术人才资源和技术设备设施资源，提供在应急状态下的技术支持。邀请相关的安全生产技术专家或技术人员担任顾问与指导，每年组织邀请专家对员工进行技术培训，指导事故模拟演练，提高员工处置应急事件的技能。</w:t>
      </w:r>
      <w:r>
        <w:rPr>
          <w:rFonts w:hint="eastAsia"/>
        </w:rPr>
        <w:t>并</w:t>
      </w:r>
      <w:r>
        <w:t>建立</w:t>
      </w:r>
      <w:r>
        <w:rPr>
          <w:rFonts w:hint="eastAsia"/>
        </w:rPr>
        <w:t>厂内</w:t>
      </w:r>
      <w:r>
        <w:t>应急救援专家队伍，及时为应急处置行动提供专业指导意见。</w:t>
      </w:r>
    </w:p>
    <w:p>
      <w:pPr>
        <w:pStyle w:val="124"/>
        <w:ind w:firstLine="560"/>
      </w:pPr>
      <w:r>
        <w:rPr>
          <w:rFonts w:hint="eastAsia"/>
        </w:rPr>
        <w:t>1、组织救治应急器材和药品，配备急救药品必须有：创可贴、烧伤</w:t>
      </w:r>
      <w:r>
        <w:t>膏、</w:t>
      </w:r>
      <w:r>
        <w:rPr>
          <w:rFonts w:hint="eastAsia"/>
        </w:rPr>
        <w:t>双氧水、酒精、皮肤消毒液、碘酒、棉签、绷带、医用胶带、红霉素眼膏、电焊养理夜、云南白药喷雾剂、云南白药、藿香正气水、头孢类消炎药剪刀、镊子、夹子、体温计、血压计（自动）、防腐手套、氯化钠注射液、冰袋、速效救心丸等；</w:t>
      </w:r>
    </w:p>
    <w:p>
      <w:pPr>
        <w:pStyle w:val="124"/>
        <w:ind w:firstLine="560"/>
      </w:pPr>
      <w:r>
        <w:rPr>
          <w:rFonts w:hint="eastAsia"/>
        </w:rPr>
        <w:t>2、配备工业卫生员、救护员；</w:t>
      </w:r>
    </w:p>
    <w:p>
      <w:pPr>
        <w:pStyle w:val="124"/>
        <w:ind w:firstLine="560"/>
      </w:pPr>
      <w:r>
        <w:t>3</w:t>
      </w:r>
      <w:r>
        <w:rPr>
          <w:rFonts w:hint="eastAsia"/>
        </w:rPr>
        <w:t>、组织全体人员开展医疗自救、卫生防疫的宣传和培训；</w:t>
      </w:r>
    </w:p>
    <w:p>
      <w:pPr>
        <w:pStyle w:val="124"/>
        <w:ind w:firstLine="560"/>
      </w:pPr>
      <w:r>
        <w:rPr>
          <w:rFonts w:hint="eastAsia"/>
        </w:rPr>
        <w:t>4、组织相关专业人员实施心理救助。</w:t>
      </w:r>
      <w:bookmarkStart w:id="422" w:name="_Toc241032915"/>
    </w:p>
    <w:bookmarkEnd w:id="422"/>
    <w:p>
      <w:pPr>
        <w:pStyle w:val="131"/>
      </w:pPr>
      <w:bookmarkStart w:id="423" w:name="_Toc505945772"/>
      <w:bookmarkStart w:id="424" w:name="_Toc21811"/>
      <w:bookmarkStart w:id="425" w:name="_Toc463949137"/>
      <w:bookmarkStart w:id="426" w:name="_Toc24581"/>
      <w:r>
        <w:rPr>
          <w:rFonts w:hint="eastAsia"/>
        </w:rPr>
        <w:t>生活保障</w:t>
      </w:r>
      <w:bookmarkEnd w:id="423"/>
      <w:bookmarkEnd w:id="424"/>
      <w:bookmarkEnd w:id="425"/>
      <w:bookmarkEnd w:id="426"/>
    </w:p>
    <w:p>
      <w:pPr>
        <w:pStyle w:val="124"/>
        <w:ind w:firstLine="560"/>
      </w:pPr>
      <w:r>
        <w:t>建立事故应急车辆征用和群众应急生活保障机制，保证发生重大突发环境事故时能有效的疏散转移群众，事发地群众有干净的水源及无污染食品供应，确保群众的生活正常有序。</w:t>
      </w:r>
    </w:p>
    <w:p>
      <w:pPr>
        <w:pStyle w:val="131"/>
        <w:numPr>
          <w:ilvl w:val="1"/>
          <w:numId w:val="2"/>
        </w:numPr>
      </w:pPr>
      <w:bookmarkStart w:id="427" w:name="_Toc463949135"/>
      <w:bookmarkStart w:id="428" w:name="_Toc15004"/>
      <w:bookmarkStart w:id="429" w:name="_Toc505945770"/>
      <w:bookmarkStart w:id="430" w:name="_Toc26727"/>
      <w:r>
        <w:rPr>
          <w:rFonts w:hint="eastAsia"/>
        </w:rPr>
        <w:t>其他保障</w:t>
      </w:r>
      <w:bookmarkEnd w:id="427"/>
      <w:bookmarkEnd w:id="428"/>
      <w:bookmarkEnd w:id="429"/>
      <w:bookmarkEnd w:id="430"/>
    </w:p>
    <w:p>
      <w:pPr>
        <w:pStyle w:val="124"/>
        <w:ind w:firstLine="560"/>
        <w:rPr>
          <w:rFonts w:ascii="仿宋" w:hAnsi="仿宋"/>
        </w:rPr>
      </w:pPr>
      <w:r>
        <w:rPr>
          <w:rStyle w:val="125"/>
          <w:bCs w:val="0"/>
          <w:iCs w:val="0"/>
        </w:rPr>
        <w:t>根据本单位应急工作需求而确定的其他相关保障措施</w:t>
      </w:r>
      <w:r>
        <w:rPr>
          <w:rFonts w:ascii="仿宋" w:hAnsi="仿宋"/>
        </w:rPr>
        <w:t>。</w:t>
      </w:r>
    </w:p>
    <w:p>
      <w:pPr>
        <w:pStyle w:val="124"/>
        <w:ind w:firstLine="560"/>
      </w:pPr>
    </w:p>
    <w:p>
      <w:pPr>
        <w:pStyle w:val="43"/>
        <w:numPr>
          <w:ilvl w:val="0"/>
          <w:numId w:val="2"/>
        </w:numPr>
        <w:ind w:firstLine="883"/>
      </w:pPr>
      <w:bookmarkStart w:id="431" w:name="_Toc505945773"/>
      <w:bookmarkStart w:id="432" w:name="_Toc11021"/>
      <w:bookmarkStart w:id="433" w:name="_Toc17050"/>
      <w:bookmarkStart w:id="434" w:name="_Toc27869"/>
      <w:bookmarkStart w:id="435" w:name="_Toc20461"/>
      <w:bookmarkStart w:id="436" w:name="_Toc463949157"/>
      <w:r>
        <w:t>预案的评审、备案、发布和更新</w:t>
      </w:r>
      <w:bookmarkEnd w:id="431"/>
      <w:bookmarkEnd w:id="432"/>
      <w:bookmarkEnd w:id="433"/>
      <w:bookmarkEnd w:id="434"/>
      <w:bookmarkEnd w:id="435"/>
    </w:p>
    <w:p>
      <w:pPr>
        <w:pStyle w:val="124"/>
        <w:ind w:firstLine="560"/>
      </w:pPr>
      <w:r>
        <w:t>本应急预案和相应程序要每年进行评价审查，以保证符合法律、法规和</w:t>
      </w:r>
      <w:r>
        <w:rPr>
          <w:rFonts w:hint="eastAsia"/>
        </w:rPr>
        <w:t>自治区</w:t>
      </w:r>
      <w:r>
        <w:t>的应急预案编制要求，适应生产的需要。本预案三年补充修订一次。</w:t>
      </w:r>
      <w:bookmarkStart w:id="437" w:name="_Toc241829093"/>
    </w:p>
    <w:p>
      <w:pPr>
        <w:pStyle w:val="131"/>
        <w:numPr>
          <w:ilvl w:val="1"/>
          <w:numId w:val="2"/>
        </w:numPr>
      </w:pPr>
      <w:bookmarkStart w:id="438" w:name="_Toc244838242"/>
      <w:bookmarkStart w:id="439" w:name="_Toc889"/>
      <w:bookmarkStart w:id="440" w:name="_Toc481858250"/>
      <w:bookmarkStart w:id="441" w:name="_Toc505945774"/>
      <w:bookmarkStart w:id="442" w:name="_Toc350944276"/>
      <w:bookmarkStart w:id="443" w:name="_Toc17906"/>
      <w:bookmarkStart w:id="444" w:name="_Toc253307745"/>
      <w:bookmarkStart w:id="445" w:name="_Toc26309"/>
      <w:r>
        <w:t>应急预案的评审</w:t>
      </w:r>
      <w:bookmarkEnd w:id="437"/>
      <w:bookmarkEnd w:id="438"/>
      <w:bookmarkEnd w:id="439"/>
      <w:bookmarkEnd w:id="440"/>
      <w:bookmarkEnd w:id="441"/>
      <w:bookmarkEnd w:id="442"/>
      <w:bookmarkEnd w:id="443"/>
      <w:bookmarkEnd w:id="444"/>
      <w:bookmarkEnd w:id="445"/>
    </w:p>
    <w:p>
      <w:pPr>
        <w:pStyle w:val="132"/>
      </w:pPr>
      <w:bookmarkStart w:id="446" w:name="_Toc350944277"/>
      <w:bookmarkStart w:id="447" w:name="_Toc1655"/>
      <w:bookmarkStart w:id="448" w:name="_Toc7484"/>
      <w:bookmarkStart w:id="449" w:name="_Toc9408"/>
      <w:bookmarkStart w:id="450" w:name="_Toc505945775"/>
      <w:r>
        <w:t>应急预案内部评审</w:t>
      </w:r>
      <w:bookmarkEnd w:id="446"/>
      <w:bookmarkEnd w:id="447"/>
      <w:bookmarkEnd w:id="448"/>
      <w:bookmarkEnd w:id="449"/>
      <w:bookmarkEnd w:id="450"/>
    </w:p>
    <w:p>
      <w:pPr>
        <w:pStyle w:val="124"/>
        <w:ind w:firstLine="560"/>
      </w:pPr>
      <w:r>
        <w:t>由公司应急救援办公室组织进行编制应急预案，由</w:t>
      </w:r>
      <w:r>
        <w:rPr>
          <w:rFonts w:hint="eastAsia"/>
        </w:rPr>
        <w:t>总经理、车间主任</w:t>
      </w:r>
      <w:r>
        <w:t>进行审核，经自治区环境保护相关专家评审后进行发</w:t>
      </w:r>
      <w:r>
        <w:rPr>
          <w:rFonts w:hint="eastAsia"/>
        </w:rPr>
        <w:t>。</w:t>
      </w:r>
      <w:r>
        <w:t>每年</w:t>
      </w:r>
      <w:r>
        <w:rPr>
          <w:rFonts w:hint="eastAsia"/>
        </w:rPr>
        <w:t>均需要</w:t>
      </w:r>
      <w:r>
        <w:t>进行审查，以保证符合法律、法规和</w:t>
      </w:r>
      <w:r>
        <w:rPr>
          <w:rFonts w:hint="eastAsia"/>
        </w:rPr>
        <w:t>自治区</w:t>
      </w:r>
      <w:r>
        <w:t>的</w:t>
      </w:r>
      <w:r>
        <w:rPr>
          <w:rFonts w:hint="eastAsia"/>
        </w:rPr>
        <w:t>相关</w:t>
      </w:r>
      <w:r>
        <w:t>要求。</w:t>
      </w:r>
    </w:p>
    <w:p>
      <w:pPr>
        <w:pStyle w:val="124"/>
        <w:ind w:firstLine="560"/>
      </w:pPr>
      <w:r>
        <w:rPr>
          <w:rFonts w:hint="eastAsia"/>
        </w:rPr>
        <w:t>1、车间主任</w:t>
      </w:r>
      <w:r>
        <w:t>每年组织相关部门对应急预案进行一次评审，发现问题及时修改并记录。</w:t>
      </w:r>
    </w:p>
    <w:p>
      <w:pPr>
        <w:pStyle w:val="124"/>
        <w:ind w:firstLine="560"/>
      </w:pPr>
      <w:r>
        <w:rPr>
          <w:rFonts w:hint="eastAsia"/>
        </w:rPr>
        <w:t>2、</w:t>
      </w:r>
      <w:r>
        <w:t>本预案应依据每次演练结果进行评估，以确定本预案的有效性和实用性。</w:t>
      </w:r>
    </w:p>
    <w:p>
      <w:pPr>
        <w:pStyle w:val="132"/>
      </w:pPr>
      <w:bookmarkStart w:id="451" w:name="_Toc505945776"/>
      <w:bookmarkStart w:id="452" w:name="_Toc26541"/>
      <w:bookmarkStart w:id="453" w:name="_Toc350944278"/>
      <w:bookmarkStart w:id="454" w:name="_Toc17951"/>
      <w:bookmarkStart w:id="455" w:name="_Toc7577"/>
      <w:r>
        <w:t>外部评审</w:t>
      </w:r>
      <w:bookmarkEnd w:id="451"/>
      <w:bookmarkEnd w:id="452"/>
      <w:bookmarkEnd w:id="453"/>
      <w:bookmarkEnd w:id="454"/>
      <w:bookmarkEnd w:id="455"/>
    </w:p>
    <w:p>
      <w:pPr>
        <w:pStyle w:val="124"/>
        <w:ind w:firstLine="560"/>
      </w:pPr>
      <w:r>
        <w:t>由公司将内部评审过的预案，提交上级主管部门备案，由备案单位组织行业专家进行评审，评审通过后正式备案。</w:t>
      </w:r>
    </w:p>
    <w:p>
      <w:pPr>
        <w:pStyle w:val="132"/>
      </w:pPr>
      <w:bookmarkStart w:id="456" w:name="_Toc31780"/>
      <w:r>
        <w:t>预案备案</w:t>
      </w:r>
      <w:bookmarkEnd w:id="456"/>
    </w:p>
    <w:p>
      <w:pPr>
        <w:ind w:firstLine="480"/>
        <w:rPr>
          <w:rFonts w:ascii="Times New Roman" w:hAnsi="Times New Roman" w:eastAsia="仿宋" w:cs="黑体"/>
          <w:bCs/>
          <w:iCs/>
          <w:kern w:val="2"/>
          <w:sz w:val="28"/>
          <w:szCs w:val="28"/>
          <w:lang w:val="en-US" w:eastAsia="zh-CN" w:bidi="en-US"/>
        </w:rPr>
      </w:pPr>
      <w:r>
        <w:rPr>
          <w:rFonts w:ascii="Times New Roman" w:hAnsi="Times New Roman" w:eastAsia="仿宋" w:cs="黑体"/>
          <w:bCs/>
          <w:iCs/>
          <w:kern w:val="2"/>
          <w:sz w:val="28"/>
          <w:szCs w:val="28"/>
          <w:lang w:val="en-US" w:eastAsia="zh-CN" w:bidi="en-US"/>
        </w:rPr>
        <w:t>应将最新版本应急预案报</w:t>
      </w:r>
      <w:r>
        <w:rPr>
          <w:rFonts w:hint="eastAsia" w:ascii="Times New Roman" w:hAnsi="Times New Roman" w:eastAsia="仿宋" w:cs="黑体"/>
          <w:bCs/>
          <w:iCs/>
          <w:kern w:val="2"/>
          <w:sz w:val="28"/>
          <w:szCs w:val="28"/>
          <w:lang w:val="en-US" w:eastAsia="zh-CN" w:bidi="en-US"/>
        </w:rPr>
        <w:t>乌鲁木齐市</w:t>
      </w:r>
      <w:r>
        <w:rPr>
          <w:rFonts w:ascii="Times New Roman" w:hAnsi="Times New Roman" w:eastAsia="仿宋" w:cs="黑体"/>
          <w:bCs/>
          <w:iCs/>
          <w:kern w:val="2"/>
          <w:sz w:val="28"/>
          <w:szCs w:val="28"/>
          <w:lang w:val="en-US" w:eastAsia="zh-CN" w:bidi="en-US"/>
        </w:rPr>
        <w:t>生态环境主管部门备案。</w:t>
      </w:r>
    </w:p>
    <w:p>
      <w:pPr>
        <w:pStyle w:val="124"/>
        <w:ind w:firstLine="560"/>
      </w:pPr>
    </w:p>
    <w:p>
      <w:pPr>
        <w:pStyle w:val="131"/>
        <w:numPr>
          <w:ilvl w:val="1"/>
          <w:numId w:val="2"/>
        </w:numPr>
      </w:pPr>
      <w:bookmarkStart w:id="457" w:name="_Toc19001"/>
      <w:bookmarkStart w:id="458" w:name="_Toc505945777"/>
      <w:bookmarkStart w:id="459" w:name="_Toc244838245"/>
      <w:bookmarkStart w:id="460" w:name="_Toc19668"/>
      <w:bookmarkStart w:id="461" w:name="_Toc253307748"/>
      <w:bookmarkStart w:id="462" w:name="_Toc350944279"/>
      <w:bookmarkStart w:id="463" w:name="_Toc20088"/>
      <w:bookmarkStart w:id="464" w:name="_Toc481858251"/>
      <w:r>
        <w:t>预案的更新及修正</w:t>
      </w:r>
      <w:bookmarkEnd w:id="457"/>
      <w:bookmarkEnd w:id="458"/>
      <w:bookmarkEnd w:id="459"/>
      <w:bookmarkEnd w:id="460"/>
      <w:bookmarkEnd w:id="461"/>
      <w:bookmarkEnd w:id="462"/>
      <w:bookmarkEnd w:id="463"/>
      <w:bookmarkEnd w:id="464"/>
    </w:p>
    <w:p>
      <w:pPr>
        <w:pStyle w:val="124"/>
        <w:ind w:firstLine="560"/>
      </w:pPr>
      <w:bookmarkStart w:id="465" w:name="_Toc239065748"/>
      <w:bookmarkStart w:id="466" w:name="_Toc350944280"/>
      <w:bookmarkStart w:id="467" w:name="_Toc31441"/>
      <w:bookmarkStart w:id="468" w:name="_Toc241032939"/>
      <w:bookmarkStart w:id="469" w:name="_Toc9523"/>
      <w:bookmarkStart w:id="470" w:name="_Toc237857848"/>
      <w:bookmarkStart w:id="471" w:name="_Toc505945778"/>
      <w:bookmarkStart w:id="472" w:name="_Toc481858252"/>
      <w:r>
        <w:rPr>
          <w:rFonts w:hint="eastAsia"/>
        </w:rPr>
        <w:t>结合环境应急预案实施情况，至少每三年对环境应急预案进行一次回顾性评估。有下列情形之一的，及时修订：</w:t>
      </w:r>
      <w:r>
        <w:rPr>
          <w:rFonts w:hint="eastAsia"/>
        </w:rPr>
        <w:br w:type="textWrapping"/>
      </w:r>
      <w:r>
        <w:rPr>
          <w:rFonts w:hint="eastAsia"/>
        </w:rPr>
        <w:t>　　（1）面临的环境风险发生重大变化，需要重新进行环境风险评估的；</w:t>
      </w:r>
      <w:r>
        <w:rPr>
          <w:rFonts w:hint="eastAsia"/>
        </w:rPr>
        <w:br w:type="textWrapping"/>
      </w:r>
      <w:r>
        <w:rPr>
          <w:rFonts w:hint="eastAsia"/>
        </w:rPr>
        <w:t>　　（2）应急管理组织指挥体系与职责发生重大变化的；</w:t>
      </w:r>
      <w:r>
        <w:rPr>
          <w:rFonts w:hint="eastAsia"/>
        </w:rPr>
        <w:br w:type="textWrapping"/>
      </w:r>
      <w:r>
        <w:rPr>
          <w:rFonts w:hint="eastAsia"/>
        </w:rPr>
        <w:t>　　（3）环境应急监测预警及报告机制、应对流程和措施、应急保障措施发生重大变化的；</w:t>
      </w:r>
      <w:r>
        <w:rPr>
          <w:rFonts w:hint="eastAsia"/>
        </w:rPr>
        <w:br w:type="textWrapping"/>
      </w:r>
      <w:r>
        <w:rPr>
          <w:rFonts w:hint="eastAsia"/>
        </w:rPr>
        <w:t>　　（4）重要应急资源发生重大变化的；</w:t>
      </w:r>
      <w:r>
        <w:rPr>
          <w:rFonts w:hint="eastAsia"/>
        </w:rPr>
        <w:br w:type="textWrapping"/>
      </w:r>
      <w:r>
        <w:rPr>
          <w:rFonts w:hint="eastAsia"/>
        </w:rPr>
        <w:t>　　（4）在突发事件实际应对和应急演练中发现问题，需要对环境应急预案作出重大调整的；</w:t>
      </w:r>
      <w:r>
        <w:rPr>
          <w:rFonts w:hint="eastAsia"/>
        </w:rPr>
        <w:br w:type="textWrapping"/>
      </w:r>
      <w:r>
        <w:rPr>
          <w:rFonts w:hint="eastAsia"/>
        </w:rPr>
        <w:t>　　（5）其他需要修订的情况。</w:t>
      </w:r>
      <w:r>
        <w:rPr>
          <w:rFonts w:hint="eastAsia"/>
        </w:rPr>
        <w:br w:type="textWrapping"/>
      </w:r>
      <w:r>
        <w:rPr>
          <w:rFonts w:hint="eastAsia"/>
        </w:rPr>
        <w:t>　　对环境应急预案进行重大修订的，修订工作参照环境应急预案制定步骤进行。对环境应急预案个别内容进行调整的，修订工作可适当简化。</w:t>
      </w:r>
    </w:p>
    <w:p>
      <w:pPr>
        <w:pStyle w:val="131"/>
        <w:numPr>
          <w:ilvl w:val="1"/>
          <w:numId w:val="2"/>
        </w:numPr>
      </w:pPr>
      <w:bookmarkStart w:id="473" w:name="_Toc9985"/>
      <w:r>
        <w:t>预案发布</w:t>
      </w:r>
      <w:bookmarkEnd w:id="465"/>
      <w:bookmarkEnd w:id="466"/>
      <w:bookmarkEnd w:id="467"/>
      <w:bookmarkEnd w:id="468"/>
      <w:bookmarkEnd w:id="469"/>
      <w:bookmarkEnd w:id="470"/>
      <w:bookmarkEnd w:id="471"/>
      <w:bookmarkEnd w:id="472"/>
      <w:bookmarkEnd w:id="473"/>
    </w:p>
    <w:p>
      <w:pPr>
        <w:pStyle w:val="124"/>
        <w:ind w:firstLine="560"/>
      </w:pPr>
      <w:r>
        <w:rPr>
          <w:rFonts w:hint="eastAsia"/>
        </w:rPr>
        <w:t>1、</w:t>
      </w:r>
      <w:r>
        <w:t>预案修正后，须发布并告知与本预案相关机构和人员</w:t>
      </w:r>
      <w:r>
        <w:rPr>
          <w:rFonts w:hint="eastAsia"/>
        </w:rPr>
        <w:t>；</w:t>
      </w:r>
    </w:p>
    <w:p>
      <w:pPr>
        <w:pStyle w:val="124"/>
        <w:ind w:firstLine="560"/>
      </w:pPr>
      <w:r>
        <w:rPr>
          <w:rFonts w:hint="eastAsia"/>
        </w:rPr>
        <w:t>2、</w:t>
      </w:r>
      <w:r>
        <w:t>本预案及每次修正后的预案，应送抄总指挥、副总指挥、各部门、各个应急救援小组等，同时抄送安全监督局、消防支队等主管单位和部门</w:t>
      </w:r>
      <w:r>
        <w:rPr>
          <w:rFonts w:hint="eastAsia"/>
        </w:rPr>
        <w:t>；</w:t>
      </w:r>
    </w:p>
    <w:p>
      <w:pPr>
        <w:pStyle w:val="124"/>
        <w:ind w:firstLine="560"/>
      </w:pPr>
      <w:r>
        <w:rPr>
          <w:rFonts w:hint="eastAsia"/>
        </w:rPr>
        <w:t>3、</w:t>
      </w:r>
      <w:r>
        <w:t>本预案自</w:t>
      </w:r>
      <w:r>
        <w:rPr>
          <w:rFonts w:hint="eastAsia"/>
        </w:rPr>
        <w:t>备案登记表</w:t>
      </w:r>
      <w:r>
        <w:t>印发之日起实施。</w:t>
      </w:r>
    </w:p>
    <w:p>
      <w:pPr>
        <w:pStyle w:val="131"/>
        <w:numPr>
          <w:ilvl w:val="1"/>
          <w:numId w:val="2"/>
        </w:numPr>
        <w:rPr>
          <w:rFonts w:hint="eastAsia"/>
          <w:lang w:val="en-US" w:eastAsia="zh-CN"/>
        </w:rPr>
      </w:pPr>
      <w:bookmarkStart w:id="474" w:name="_Toc26821"/>
      <w:r>
        <w:rPr>
          <w:rFonts w:hint="eastAsia"/>
          <w:lang w:val="en-US" w:eastAsia="zh-CN"/>
        </w:rPr>
        <w:t>预案的实施和生效</w:t>
      </w:r>
      <w:bookmarkEnd w:id="474"/>
    </w:p>
    <w:p>
      <w:pPr>
        <w:pStyle w:val="124"/>
        <w:ind w:firstLine="560"/>
      </w:pPr>
      <w:r>
        <w:rPr>
          <w:rFonts w:hint="eastAsia"/>
        </w:rPr>
        <w:t>1、</w:t>
      </w:r>
      <w:r>
        <w:t>本预案自发布之日起实施。预案批准发布后，单位组织落实预案中的各项工作，进一步明确各项职责和任务分工，加强应急知识的宣传、教育和培训，定期组织应急预案演练，实现应急预案持续改进。</w:t>
      </w:r>
    </w:p>
    <w:p>
      <w:pPr>
        <w:pStyle w:val="124"/>
        <w:ind w:firstLine="560"/>
      </w:pPr>
      <w:r>
        <w:rPr>
          <w:rFonts w:hint="eastAsia"/>
        </w:rPr>
        <w:t>2、当预案中的关键应急人员及内容发生变化时应立即修订；</w:t>
      </w:r>
    </w:p>
    <w:p>
      <w:pPr>
        <w:pStyle w:val="124"/>
        <w:ind w:firstLine="560"/>
      </w:pPr>
      <w:r>
        <w:rPr>
          <w:rFonts w:hint="eastAsia"/>
        </w:rPr>
        <w:t>3、原则上本预案六个月核查一次，以改进和完善其应急功能完整性和实用性，注意核查其随时间而改变的内容，如应急组机构，电话号码，联络人，应急器材及放置地点等；</w:t>
      </w:r>
    </w:p>
    <w:p>
      <w:pPr>
        <w:pStyle w:val="124"/>
        <w:ind w:firstLine="560"/>
      </w:pPr>
      <w:r>
        <w:rPr>
          <w:rFonts w:hint="eastAsia"/>
        </w:rPr>
        <w:t>4、预案修正后，经公司领导批准发布，并告知与本预案相关的机构和人员；</w:t>
      </w:r>
    </w:p>
    <w:p>
      <w:pPr>
        <w:pStyle w:val="124"/>
        <w:ind w:firstLine="560"/>
      </w:pPr>
      <w:r>
        <w:rPr>
          <w:rFonts w:hint="eastAsia"/>
        </w:rPr>
        <w:t>5、本预案由档案室存留二份，指挥部成员每人一份。</w:t>
      </w:r>
      <w:r>
        <w:br w:type="page"/>
      </w:r>
    </w:p>
    <w:p>
      <w:pPr>
        <w:pStyle w:val="43"/>
      </w:pPr>
      <w:bookmarkStart w:id="475" w:name="_Toc21388"/>
      <w:bookmarkStart w:id="476" w:name="_Toc20690"/>
      <w:bookmarkStart w:id="477" w:name="_Toc26623"/>
      <w:bookmarkStart w:id="478" w:name="_Toc13288"/>
      <w:bookmarkStart w:id="479" w:name="_Toc505945780"/>
      <w:r>
        <w:rPr>
          <w:rFonts w:hint="eastAsia"/>
        </w:rPr>
        <w:t>附则</w:t>
      </w:r>
      <w:bookmarkEnd w:id="436"/>
      <w:bookmarkEnd w:id="475"/>
      <w:bookmarkEnd w:id="476"/>
      <w:bookmarkEnd w:id="477"/>
      <w:bookmarkEnd w:id="478"/>
      <w:bookmarkEnd w:id="479"/>
    </w:p>
    <w:p>
      <w:pPr>
        <w:pStyle w:val="131"/>
        <w:numPr>
          <w:ilvl w:val="1"/>
          <w:numId w:val="2"/>
        </w:numPr>
      </w:pPr>
      <w:bookmarkStart w:id="480" w:name="_Toc463949158"/>
      <w:bookmarkStart w:id="481" w:name="_Toc13846"/>
      <w:bookmarkStart w:id="482" w:name="_Toc3182"/>
      <w:bookmarkStart w:id="483" w:name="_Toc505945781"/>
      <w:r>
        <w:rPr>
          <w:rFonts w:hint="eastAsia"/>
        </w:rPr>
        <w:t>名词术语</w:t>
      </w:r>
      <w:bookmarkEnd w:id="480"/>
      <w:bookmarkEnd w:id="481"/>
      <w:bookmarkEnd w:id="482"/>
      <w:bookmarkEnd w:id="483"/>
    </w:p>
    <w:p>
      <w:pPr>
        <w:pStyle w:val="124"/>
        <w:ind w:firstLine="560"/>
      </w:pPr>
      <w:r>
        <w:rPr>
          <w:rFonts w:hint="eastAsia"/>
        </w:rPr>
        <w:t>危险物质：指《危险化学品名录》和《剧毒化学品名录》中的物质和易燃易爆物品。</w:t>
      </w:r>
    </w:p>
    <w:p>
      <w:pPr>
        <w:pStyle w:val="124"/>
        <w:ind w:firstLine="560"/>
      </w:pPr>
      <w:r>
        <w:rPr>
          <w:rFonts w:hint="eastAsia"/>
        </w:rPr>
        <w:t>环境风险源：指可能导致突发环境事件的污染源，以及生产、贮存、经营、使用、运输危险物质或产生、收集、利用、处置危险废物的场所、设备和装置。</w:t>
      </w:r>
    </w:p>
    <w:p>
      <w:pPr>
        <w:pStyle w:val="124"/>
        <w:ind w:firstLine="560"/>
      </w:pPr>
      <w:r>
        <w:rPr>
          <w:rFonts w:hint="eastAsia"/>
        </w:rPr>
        <w:t>环境敏感区：根据《建设项目环境影响评价分类管理名录》（生态环境部部令第</w:t>
      </w:r>
      <w:r>
        <w:t>1</w:t>
      </w:r>
      <w:r>
        <w:rPr>
          <w:rFonts w:hint="eastAsia"/>
        </w:rPr>
        <w:t>号）规定，指依法设立的各级各类自然、文化保护地，以及对建设项目的某类污染因子或者生态影响因子特别敏感的区域。</w:t>
      </w:r>
    </w:p>
    <w:p>
      <w:pPr>
        <w:pStyle w:val="124"/>
        <w:ind w:firstLine="560"/>
      </w:pPr>
      <w:r>
        <w:rPr>
          <w:rFonts w:hint="eastAsia"/>
        </w:rPr>
        <w:t>环境保护目标：指在突发环境事件应急中，需要保护的环境敏感区域中可能受到影响的对象。</w:t>
      </w:r>
    </w:p>
    <w:p>
      <w:pPr>
        <w:pStyle w:val="124"/>
        <w:ind w:firstLine="560"/>
      </w:pPr>
      <w:r>
        <w:rPr>
          <w:rFonts w:hint="eastAsia"/>
        </w:rPr>
        <w:t>环境事件：指由于违反环境保护法律法规的经济、社会活动与行为，以及由于意外因素的影响或不可抗拒的自然灾害等原因致使环境受到污染，生态系统受到干扰，人体健康受到危害，社会财富受到损失，造成不良社会影响的事件。</w:t>
      </w:r>
    </w:p>
    <w:p>
      <w:pPr>
        <w:pStyle w:val="124"/>
        <w:ind w:firstLine="560"/>
      </w:pPr>
      <w:r>
        <w:rPr>
          <w:rFonts w:hint="eastAsia"/>
        </w:rPr>
        <w:t>突发环境事件：指突然发生，造成或者可能造成重大人员伤亡、重大财产损失和对全国或者某一地区的经济社会稳定、政治安定构成重大威胁和损害，有重大社会影响的涉及公共安全的环境事件。</w:t>
      </w:r>
    </w:p>
    <w:p>
      <w:pPr>
        <w:pStyle w:val="124"/>
        <w:ind w:firstLine="560"/>
      </w:pPr>
      <w:r>
        <w:rPr>
          <w:rFonts w:hint="eastAsia"/>
        </w:rPr>
        <w:t>应急救援：指突发环境事件发生时，采取的消除、减少事件危害和防止事件恶化，最大限度降低事件损失的措施。</w:t>
      </w:r>
    </w:p>
    <w:p>
      <w:pPr>
        <w:pStyle w:val="124"/>
        <w:ind w:firstLine="560"/>
      </w:pPr>
      <w:r>
        <w:rPr>
          <w:rFonts w:hint="eastAsia"/>
        </w:rPr>
        <w:t>应急监测：指在环境应急情况下，为发现和查明环境污染情况和污染范围而进行的环境监测，包括定点监测和动态监测。</w:t>
      </w:r>
    </w:p>
    <w:p>
      <w:pPr>
        <w:pStyle w:val="124"/>
        <w:ind w:firstLine="560"/>
      </w:pPr>
      <w:r>
        <w:rPr>
          <w:rFonts w:hint="eastAsia"/>
        </w:rPr>
        <w:t>恢复：指在突发环境事件的影响得到初步控制后，为使生产、生活和生态环境尽快恢复到正常状态而采取的措施或行动。</w:t>
      </w:r>
    </w:p>
    <w:p>
      <w:pPr>
        <w:pStyle w:val="124"/>
        <w:ind w:firstLine="560"/>
      </w:pPr>
      <w:r>
        <w:rPr>
          <w:rFonts w:hint="eastAsia"/>
        </w:rPr>
        <w:t>应急预案：指根据对可能发生的环境事件的类别、危害程度的预测，而制定的突发环境事件应急救援方案。要充分考虑现有物质、人员及环境风险源的具体条件，能及时、有效地统筹指导突发环境事件应急救援行动。</w:t>
      </w:r>
    </w:p>
    <w:p>
      <w:pPr>
        <w:pStyle w:val="124"/>
        <w:ind w:firstLine="560"/>
      </w:pPr>
      <w:r>
        <w:rPr>
          <w:rFonts w:hint="eastAsia"/>
        </w:rPr>
        <w:t>分类：指根据突发环境事件的发生过程、性质和机理，对不同环境事件划分的类别。</w:t>
      </w:r>
    </w:p>
    <w:p>
      <w:pPr>
        <w:pStyle w:val="124"/>
        <w:ind w:firstLine="560"/>
      </w:pPr>
      <w:r>
        <w:rPr>
          <w:rFonts w:hint="eastAsia"/>
        </w:rPr>
        <w:t>分级：分级指按照突发环境事件严重性、紧急程度及危害程度，对不同环境事件划分的级别。</w:t>
      </w:r>
    </w:p>
    <w:p>
      <w:pPr>
        <w:pStyle w:val="124"/>
        <w:ind w:firstLine="560"/>
      </w:pPr>
      <w:r>
        <w:rPr>
          <w:rFonts w:hint="eastAsia"/>
        </w:rPr>
        <w:t>应急演练：为检验应急预案的有效性、应急准备的完善性、应急响应能力的适应性和应急人员的协同性而进行的一种模拟应急响应的实践活动。根据所涉及的内容和范围的不同，可分为单项演练、综合演练和指挥中心、现场应急组织联合进行的联合演练。</w:t>
      </w:r>
    </w:p>
    <w:p>
      <w:pPr>
        <w:pStyle w:val="131"/>
        <w:numPr>
          <w:ilvl w:val="1"/>
          <w:numId w:val="2"/>
        </w:numPr>
      </w:pPr>
      <w:bookmarkStart w:id="484" w:name="_Toc463949159"/>
      <w:bookmarkStart w:id="485" w:name="_Toc19682"/>
      <w:bookmarkStart w:id="486" w:name="_Toc6618"/>
      <w:bookmarkStart w:id="487" w:name="_Toc505945782"/>
      <w:r>
        <w:rPr>
          <w:rFonts w:hint="eastAsia"/>
        </w:rPr>
        <w:t>预案解释</w:t>
      </w:r>
      <w:bookmarkEnd w:id="484"/>
      <w:bookmarkEnd w:id="485"/>
      <w:bookmarkEnd w:id="486"/>
      <w:bookmarkEnd w:id="487"/>
    </w:p>
    <w:p>
      <w:pPr>
        <w:pStyle w:val="124"/>
        <w:ind w:firstLine="560"/>
      </w:pPr>
      <w:r>
        <w:t>岗位应急预案以及部门分预案负责解释的部门是</w:t>
      </w:r>
      <w:r>
        <w:rPr>
          <w:rFonts w:hint="eastAsia"/>
        </w:rPr>
        <w:t>车间负责人</w:t>
      </w:r>
      <w:r>
        <w:t>；公司级应急预案负责解释的</w:t>
      </w:r>
      <w:r>
        <w:rPr>
          <w:rFonts w:hint="eastAsia"/>
        </w:rPr>
        <w:t>是总经理武建洛</w:t>
      </w:r>
      <w:r>
        <w:t>。</w:t>
      </w:r>
    </w:p>
    <w:p>
      <w:pPr>
        <w:pStyle w:val="131"/>
        <w:numPr>
          <w:ilvl w:val="1"/>
          <w:numId w:val="2"/>
        </w:numPr>
      </w:pPr>
      <w:bookmarkStart w:id="488" w:name="_Toc30697"/>
      <w:bookmarkStart w:id="489" w:name="_Toc505945783"/>
      <w:bookmarkStart w:id="490" w:name="_Toc7764"/>
      <w:bookmarkStart w:id="491" w:name="_Toc463949160"/>
      <w:r>
        <w:rPr>
          <w:rFonts w:hint="eastAsia"/>
        </w:rPr>
        <w:t>修订情况</w:t>
      </w:r>
      <w:bookmarkEnd w:id="488"/>
      <w:bookmarkEnd w:id="489"/>
      <w:bookmarkEnd w:id="490"/>
      <w:bookmarkEnd w:id="491"/>
    </w:p>
    <w:p>
      <w:pPr>
        <w:pStyle w:val="124"/>
        <w:ind w:firstLine="560"/>
      </w:pPr>
      <w:r>
        <w:rPr>
          <w:rFonts w:hint="eastAsia"/>
        </w:rPr>
        <w:t>为适应国家相关法律、法规的调整和部门或应急资源的变化，结合生产过程中发现存在的问题和出现的新情况，每年年底将对本预案进行修订更新，并将新预案发送到相关部门进行学习。</w:t>
      </w:r>
    </w:p>
    <w:p>
      <w:pPr>
        <w:pStyle w:val="131"/>
        <w:numPr>
          <w:ilvl w:val="1"/>
          <w:numId w:val="2"/>
        </w:numPr>
      </w:pPr>
      <w:bookmarkStart w:id="492" w:name="_Toc463949161"/>
      <w:bookmarkStart w:id="493" w:name="_Toc505945784"/>
      <w:bookmarkStart w:id="494" w:name="_Toc19418"/>
      <w:bookmarkStart w:id="495" w:name="_Toc7938"/>
      <w:r>
        <w:rPr>
          <w:rFonts w:hint="eastAsia"/>
        </w:rPr>
        <w:t>实施日期</w:t>
      </w:r>
      <w:bookmarkEnd w:id="492"/>
      <w:bookmarkEnd w:id="493"/>
      <w:bookmarkEnd w:id="494"/>
      <w:bookmarkEnd w:id="495"/>
    </w:p>
    <w:p>
      <w:pPr>
        <w:pStyle w:val="124"/>
        <w:ind w:firstLine="560"/>
      </w:pPr>
      <w:r>
        <w:rPr>
          <w:rFonts w:hint="eastAsia"/>
        </w:rPr>
        <w:t>本预案自发布之日起实施。预案批准发布后，公司应组织落实预案中的各项工作，进一步明确各项职责和任务分工，加强应急知识的宣传、教育和培训，定期组织应急预案演练，实现应急预案持续改进。</w:t>
      </w:r>
    </w:p>
    <w:bookmarkEnd w:id="53"/>
    <w:bookmarkEnd w:id="54"/>
    <w:bookmarkEnd w:id="55"/>
    <w:p>
      <w:pPr>
        <w:widowControl/>
        <w:jc w:val="left"/>
        <w:rPr>
          <w:rFonts w:ascii="Times New Roman" w:hAnsi="Times New Roman" w:eastAsia="仿宋"/>
          <w:bCs/>
          <w:iCs/>
          <w:sz w:val="28"/>
          <w:szCs w:val="28"/>
          <w:lang w:bidi="en-US"/>
        </w:rPr>
      </w:pPr>
    </w:p>
    <w:p>
      <w:pPr>
        <w:pStyle w:val="179"/>
        <w:spacing w:before="0" w:beforeLines="0" w:after="0" w:afterLines="0"/>
        <w:ind w:left="0"/>
        <w:contextualSpacing/>
        <w:jc w:val="both"/>
        <w:outlineLvl w:val="9"/>
      </w:pPr>
      <w:r>
        <mc:AlternateContent>
          <mc:Choice Requires="wps">
            <w:drawing>
              <wp:anchor distT="0" distB="0" distL="114300" distR="114300" simplePos="0" relativeHeight="252572672" behindDoc="0" locked="0" layoutInCell="1" allowOverlap="1">
                <wp:simplePos x="0" y="0"/>
                <wp:positionH relativeFrom="column">
                  <wp:posOffset>3200400</wp:posOffset>
                </wp:positionH>
                <wp:positionV relativeFrom="paragraph">
                  <wp:posOffset>6042660</wp:posOffset>
                </wp:positionV>
                <wp:extent cx="3164205" cy="295275"/>
                <wp:effectExtent l="0" t="381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164205" cy="295275"/>
                        </a:xfrm>
                        <a:prstGeom prst="rect">
                          <a:avLst/>
                        </a:prstGeom>
                        <a:noFill/>
                        <a:ln>
                          <a:noFill/>
                        </a:ln>
                        <a:effectLst/>
                      </wps:spPr>
                      <wps:txbx>
                        <w:txbxContent>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52pt;margin-top:475.8pt;height:23.25pt;width:249.15pt;z-index:252572672;mso-width-relative:page;mso-height-relative:page;" filled="f" stroked="f" coordsize="21600,21600" o:gfxdata="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X1qz9kAAAAMAQAADwAAAAAAAAABACAAAAAiAAAAZHJzL2Rv&#10;d25yZXYueG1sUEsBAhQAFAAAAAgAh07iQJvE2h4AAgAA1QMAAA4AAAAAAAAAAQAgAAAAKAEAAGRy&#10;cy9lMm9Eb2MueG1sUEsFBgAAAAAGAAYAWQEAAJoFAAAAAA==&#10;">
                <v:fill on="f" focussize="0,0"/>
                <v:stroke on="f"/>
                <v:imagedata o:title=""/>
                <o:lock v:ext="edit" aspectratio="f"/>
                <v:textbox>
                  <w:txbxContent>
                    <w:p/>
                  </w:txbxContent>
                </v:textbox>
              </v:shape>
            </w:pict>
          </mc:Fallback>
        </mc:AlternateContent>
      </w:r>
    </w:p>
    <w:p>
      <w:pPr>
        <w:pStyle w:val="179"/>
        <w:spacing w:before="0" w:beforeLines="0" w:after="0" w:afterLines="0"/>
        <w:ind w:left="0"/>
        <w:contextualSpacing/>
        <w:jc w:val="both"/>
        <w:outlineLvl w:val="9"/>
        <w:rPr>
          <w:rFonts w:ascii="Times New Roman" w:hAnsi="Times New Roman" w:eastAsia="仿宋" w:cs="Times New Roman"/>
          <w:bCs/>
          <w:sz w:val="30"/>
          <w:szCs w:val="30"/>
        </w:rPr>
      </w:pPr>
    </w:p>
    <w:p>
      <w:pPr>
        <w:pStyle w:val="146"/>
        <w:rPr>
          <w:rFonts w:ascii="Times New Roman" w:hAnsi="Times New Roman" w:eastAsia="仿宋"/>
          <w:b/>
          <w:bCs/>
          <w:sz w:val="30"/>
          <w:szCs w:val="30"/>
        </w:rPr>
      </w:pPr>
    </w:p>
    <w:p>
      <w:pPr>
        <w:keepNext/>
        <w:keepLines/>
        <w:tabs>
          <w:tab w:val="left" w:pos="420"/>
          <w:tab w:val="center" w:pos="4195"/>
        </w:tabs>
        <w:adjustRightInd w:val="0"/>
        <w:snapToGrid w:val="0"/>
        <w:rPr>
          <w:rFonts w:hint="eastAsia" w:ascii="Times New Roman" w:hAnsi="Times New Roman" w:eastAsia="仿宋"/>
          <w:b/>
          <w:bCs/>
          <w:sz w:val="30"/>
          <w:szCs w:val="30"/>
        </w:rPr>
      </w:pPr>
    </w:p>
    <w:p>
      <w:pPr>
        <w:pStyle w:val="179"/>
        <w:spacing w:before="0" w:beforeLines="0" w:after="0" w:afterLines="0"/>
        <w:ind w:left="0"/>
        <w:contextualSpacing/>
        <w:jc w:val="both"/>
        <w:outlineLvl w:val="9"/>
        <w:rPr>
          <w:rFonts w:hint="eastAsia" w:ascii="Times New Roman" w:hAnsi="Times New Roman" w:eastAsia="仿宋" w:cs="Times New Roman"/>
          <w:bCs/>
          <w:sz w:val="28"/>
          <w:szCs w:val="28"/>
          <w:lang w:val="en-US" w:eastAsia="zh-CN"/>
        </w:rPr>
      </w:pPr>
    </w:p>
    <w:sectPr>
      <w:headerReference r:id="rId12" w:type="default"/>
      <w:footerReference r:id="rId13" w:type="default"/>
      <w:pgSz w:w="11906" w:h="16838"/>
      <w:pgMar w:top="1797" w:right="1440" w:bottom="1797" w:left="1440" w:header="709" w:footer="709" w:gutter="0"/>
      <w:pgNumType w:fmt="numberInDash"/>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auto"/>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Angsana New">
    <w:panose1 w:val="02020603050405020304"/>
    <w:charset w:val="00"/>
    <w:family w:val="roman"/>
    <w:pitch w:val="default"/>
    <w:sig w:usb0="81000003" w:usb1="00000000" w:usb2="00000000" w:usb3="00000000" w:csb0="00010001" w:csb1="00000000"/>
  </w:font>
  <w:font w:name="仿宋">
    <w:panose1 w:val="02010609060101010101"/>
    <w:charset w:val="86"/>
    <w:family w:val="modern"/>
    <w:pitch w:val="default"/>
    <w:sig w:usb0="800002BF" w:usb1="38CF7CFA" w:usb2="00000016" w:usb3="00000000" w:csb0="00040001" w:csb1="00000000"/>
  </w:font>
  <w:font w:name="等线">
    <w:altName w:val="宋体"/>
    <w:panose1 w:val="02010600030101010101"/>
    <w:charset w:val="86"/>
    <w:family w:val="auto"/>
    <w:pitch w:val="default"/>
    <w:sig w:usb0="00000000" w:usb1="00000000" w:usb2="00000016" w:usb3="00000000" w:csb0="0004000F" w:csb1="00000000"/>
  </w:font>
  <w:font w:name="TimesNewRomanPSMT">
    <w:altName w:val="Times New Roman"/>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A0000287" w:usb1="28CF3C52" w:usb2="00000016" w:usb3="00000000" w:csb0="0004001F" w:csb1="00000000"/>
  </w:font>
  <w:font w:name="方正舒体">
    <w:altName w:val="宋体"/>
    <w:panose1 w:val="02010601030101010101"/>
    <w:charset w:val="86"/>
    <w:family w:val="auto"/>
    <w:pitch w:val="default"/>
    <w:sig w:usb0="00000000" w:usb1="00000000" w:usb2="0000000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ˎ̥">
    <w:altName w:val="Times New Roman"/>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隶书">
    <w:altName w:val="微软雅黑"/>
    <w:panose1 w:val="0201050906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Helvetica">
    <w:altName w:val="Arial"/>
    <w:panose1 w:val="020B0604020202020204"/>
    <w:charset w:val="00"/>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Segoe Print"/>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5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firstLineChars="0"/>
    </w:pPr>
    <w:r>
      <mc:AlternateContent>
        <mc:Choice Requires="wps">
          <w:drawing>
            <wp:anchor distT="0" distB="0" distL="114300" distR="114300" simplePos="0" relativeHeight="252574720" behindDoc="0" locked="0" layoutInCell="1" allowOverlap="1">
              <wp:simplePos x="0" y="0"/>
              <wp:positionH relativeFrom="margin">
                <wp:align>center</wp:align>
              </wp:positionH>
              <wp:positionV relativeFrom="paragraph">
                <wp:posOffset>0</wp:posOffset>
              </wp:positionV>
              <wp:extent cx="407035" cy="306705"/>
              <wp:effectExtent l="0" t="0" r="0" b="0"/>
              <wp:wrapNone/>
              <wp:docPr id="3" name="文本框 3"/>
              <wp:cNvGraphicFramePr/>
              <a:graphic xmlns:a="http://schemas.openxmlformats.org/drawingml/2006/main">
                <a:graphicData uri="http://schemas.microsoft.com/office/word/2010/wordprocessingShape">
                  <wps:wsp>
                    <wps:cNvSpPr txBox="1"/>
                    <wps:spPr>
                      <a:xfrm>
                        <a:off x="0" y="0"/>
                        <a:ext cx="407035" cy="306705"/>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6 -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4.15pt;width:32.05pt;mso-position-horizontal:center;mso-position-horizontal-relative:margin;mso-wrap-style:none;z-index:252574720;mso-width-relative:page;mso-height-relative:page;" filled="f" stroked="f" coordsize="21600,21600" o:gfxdata="UEsDBAoAAAAAAIdO4kAAAAAAAAAAAAAAAAAEAAAAZHJzL1BLAwQUAAAACACHTuJA9C7uM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C7uMtEA&#10;AAADAQAADwAAAAAAAAABACAAAAAiAAAAZHJzL2Rvd25yZXYueG1sUEsBAhQAFAAAAAgAh07iQHBd&#10;6au0AQAASQMAAA4AAAAAAAAAAQAgAAAAIAEAAGRycy9lMm9Eb2MueG1sUEsFBgAAAAAGAAYAWQEA&#10;AEYFA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6 -</w:t>
                    </w:r>
                    <w:r>
                      <w:rPr>
                        <w:rFonts w:hint="eastAsia"/>
                        <w:sz w:val="18"/>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ind w:firstLine="0" w:firstLineChars="0"/>
    </w:pPr>
    <w:r>
      <mc:AlternateContent>
        <mc:Choice Requires="wps">
          <w:drawing>
            <wp:anchor distT="0" distB="0" distL="114300" distR="114300" simplePos="0" relativeHeight="253492224" behindDoc="0" locked="0" layoutInCell="1" allowOverlap="1">
              <wp:simplePos x="0" y="0"/>
              <wp:positionH relativeFrom="margin">
                <wp:align>center</wp:align>
              </wp:positionH>
              <wp:positionV relativeFrom="paragraph">
                <wp:posOffset>0</wp:posOffset>
              </wp:positionV>
              <wp:extent cx="407035" cy="306705"/>
              <wp:effectExtent l="0" t="0" r="0" b="0"/>
              <wp:wrapNone/>
              <wp:docPr id="5" name="文本框 5"/>
              <wp:cNvGraphicFramePr/>
              <a:graphic xmlns:a="http://schemas.openxmlformats.org/drawingml/2006/main">
                <a:graphicData uri="http://schemas.microsoft.com/office/word/2010/wordprocessingShape">
                  <wps:wsp>
                    <wps:cNvSpPr txBox="1"/>
                    <wps:spPr>
                      <a:xfrm>
                        <a:off x="0" y="0"/>
                        <a:ext cx="407035" cy="306705"/>
                      </a:xfrm>
                      <a:prstGeom prst="rect">
                        <a:avLst/>
                      </a:prstGeom>
                      <a:noFill/>
                      <a:ln>
                        <a:noFill/>
                      </a:ln>
                    </wps:spPr>
                    <wps:txbx>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6 -</w:t>
                          </w:r>
                          <w:r>
                            <w:rPr>
                              <w:rFonts w:hint="eastAsia"/>
                              <w:sz w:val="1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24.15pt;width:32.05pt;mso-position-horizontal:center;mso-position-horizontal-relative:margin;mso-wrap-style:none;z-index:253492224;mso-width-relative:page;mso-height-relative:page;" filled="f" stroked="f" coordsize="21600,21600" o:gfxdata="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0Lu4y0QAA&#10;AAMBAAAPAAAAAAAAAAEAIAAAACIAAABkcnMvZG93bnJldi54bWxQSwECFAAUAAAACACHTuJAR2lI&#10;qbMBAABJAwAADgAAAAAAAAABACAAAAAgAQAAZHJzL2Uyb0RvYy54bWxQSwUGAAAAAAYABgBZAQAA&#10;RQU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w:t>
                    </w:r>
                    <w:r>
                      <w:rPr>
                        <w:sz w:val="18"/>
                      </w:rPr>
                      <w:t xml:space="preserve"> 6 -</w:t>
                    </w:r>
                    <w:r>
                      <w:rPr>
                        <w:rFonts w:hint="eastAsia"/>
                        <w:sz w:val="18"/>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Times New Roman" w:hAnsi="Times New Roman" w:cs="Times New Roman"/>
      </w:rPr>
    </w:pPr>
    <w:r>
      <w:rPr>
        <w:sz w:val="18"/>
      </w:rPr>
      <mc:AlternateContent>
        <mc:Choice Requires="wps">
          <w:drawing>
            <wp:anchor distT="0" distB="0" distL="114300" distR="114300" simplePos="0" relativeHeight="253493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1"/>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71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3493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21"/>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71</w:t>
                    </w:r>
                    <w:r>
                      <w:rPr>
                        <w:rFonts w:ascii="Times New Roman" w:hAnsi="Times New Roman" w:cs="Times New Roma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rPr>
        <w:rFonts w:ascii="Times New Roman" w:hAnsi="Times New Roman" w:cs="Times New Roman"/>
      </w:rPr>
    </w:pPr>
    <w:r>
      <mc:AlternateContent>
        <mc:Choice Requires="wps">
          <w:drawing>
            <wp:anchor distT="0" distB="0" distL="114300" distR="114300" simplePos="0" relativeHeight="251776000" behindDoc="0" locked="0" layoutInCell="1" allowOverlap="1">
              <wp:simplePos x="0" y="0"/>
              <wp:positionH relativeFrom="margin">
                <wp:align>center</wp:align>
              </wp:positionH>
              <wp:positionV relativeFrom="paragraph">
                <wp:posOffset>-38100</wp:posOffset>
              </wp:positionV>
              <wp:extent cx="167640" cy="131445"/>
              <wp:effectExtent l="0" t="0" r="0" b="0"/>
              <wp:wrapNone/>
              <wp:docPr id="44" name="文本框 44"/>
              <wp:cNvGraphicFramePr/>
              <a:graphic xmlns:a="http://schemas.openxmlformats.org/drawingml/2006/main">
                <a:graphicData uri="http://schemas.microsoft.com/office/word/2010/wordprocessingShape">
                  <wps:wsp>
                    <wps:cNvSpPr txBox="1">
                      <a:spLocks noChangeArrowheads="1"/>
                    </wps:cNvSpPr>
                    <wps:spPr bwMode="auto">
                      <a:xfrm>
                        <a:off x="0" y="0"/>
                        <a:ext cx="167640" cy="131445"/>
                      </a:xfrm>
                      <a:prstGeom prst="rect">
                        <a:avLst/>
                      </a:prstGeom>
                      <a:noFill/>
                      <a:ln>
                        <a:noFill/>
                      </a:ln>
                    </wps:spPr>
                    <wps:txbx>
                      <w:txbxContent>
                        <w:p>
                          <w:pPr>
                            <w:pStyle w:val="21"/>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83</w:t>
                          </w:r>
                          <w:r>
                            <w:rPr>
                              <w:rFonts w:ascii="Times New Roman" w:hAnsi="Times New Roman" w:cs="Times New Roman"/>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3pt;height:10.35pt;width:13.2pt;mso-position-horizontal:center;mso-position-horizontal-relative:margin;mso-wrap-style:none;z-index:251776000;mso-width-relative:page;mso-height-relative:page;" filled="f" stroked="f" coordsize="21600,21600" o:gfxdata="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xnh4&#10;ZdIAAAAFAQAADwAAAAAAAAABACAAAAAiAAAAZHJzL2Rvd25yZXYueG1sUEsBAhQAFAAAAAgAh07i&#10;QMgLVvHvAQAAtgMAAA4AAAAAAAAAAQAgAAAAIQEAAGRycy9lMm9Eb2MueG1sUEsFBgAAAAAGAAYA&#10;WQEAAIIFAAAAAA==&#10;">
              <v:fill on="f" focussize="0,0"/>
              <v:stroke on="f"/>
              <v:imagedata o:title=""/>
              <o:lock v:ext="edit" aspectratio="f"/>
              <v:textbox inset="0mm,0mm,0mm,0mm" style="mso-fit-shape-to-text:t;">
                <w:txbxContent>
                  <w:p>
                    <w:pPr>
                      <w:pStyle w:val="21"/>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83</w:t>
                    </w:r>
                    <w:r>
                      <w:rPr>
                        <w:rFonts w:ascii="Times New Roman" w:hAnsi="Times New Roman" w:cs="Times New Roman"/>
                      </w:rPr>
                      <w:fldChar w:fldCharType="end"/>
                    </w:r>
                  </w:p>
                </w:txbxContent>
              </v:textbox>
            </v:shape>
          </w:pict>
        </mc:Fallback>
      </mc:AlternateContent>
    </w:r>
    <w:r>
      <w:rPr>
        <w:rFonts w:hint="eastAsia" w:ascii="Times New Roman" w:hAnsi="Times New Roman" w:cs="Times New Roman"/>
      </w:rPr>
      <w:t xml:space="preserve"> </w:t>
    </w:r>
    <w:r>
      <w:rPr>
        <w:rFonts w:ascii="Times New Roman" w:hAnsi="Times New Roman" w:cs="Times New Roman"/>
      </w:rPr>
      <w:t xml:space="preserve"> </w:t>
    </w:r>
  </w:p>
  <w:p>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4" w:space="0"/>
      </w:pBdr>
      <w:ind w:firstLine="0" w:firstLineChars="0"/>
      <w:jc w:val="center"/>
      <w:rPr>
        <w:rFonts w:ascii="宋体" w:hAnsi="宋体" w:cs="宋体"/>
        <w:sz w:val="21"/>
        <w:szCs w:val="21"/>
      </w:rPr>
    </w:pPr>
    <w:r>
      <w:rPr>
        <w:rFonts w:hint="eastAsia"/>
        <w:sz w:val="21"/>
        <w:lang w:val="en-US" w:eastAsia="zh-CN"/>
      </w:rPr>
      <w:t>新疆福克油品股份有限公司</w:t>
    </w:r>
    <w:r>
      <w:rPr>
        <w:rFonts w:hint="eastAsia"/>
        <w:sz w:val="21"/>
      </w:rPr>
      <w:t>突发环境事件应急预案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bottom w:val="single" w:color="auto" w:sz="4" w:space="1"/>
      </w:pBdr>
    </w:pPr>
  </w:p>
  <w:p>
    <w:pPr>
      <w:pStyle w:val="22"/>
      <w:pBdr>
        <w:bottom w:val="single" w:color="auto" w:sz="4" w:space="1"/>
      </w:pBdr>
    </w:pPr>
  </w:p>
  <w:p>
    <w:pPr>
      <w:pStyle w:val="22"/>
      <w:pBdr>
        <w:bottom w:val="single" w:color="auto" w:sz="4" w:space="1"/>
      </w:pBdr>
    </w:pPr>
    <w:r>
      <w:rPr>
        <w:rFonts w:hint="eastAsia"/>
      </w:rPr>
      <w:t>新疆福克油品股份有限公司应急</w:t>
    </w:r>
    <w:r>
      <w:t>资源调查报告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C2C970"/>
    <w:multiLevelType w:val="singleLevel"/>
    <w:tmpl w:val="8AC2C970"/>
    <w:lvl w:ilvl="0" w:tentative="0">
      <w:start w:val="3"/>
      <w:numFmt w:val="decimal"/>
      <w:suff w:val="nothing"/>
      <w:lvlText w:val="（%1）"/>
      <w:lvlJc w:val="left"/>
    </w:lvl>
  </w:abstractNum>
  <w:abstractNum w:abstractNumId="1">
    <w:nsid w:val="9EEFCC2F"/>
    <w:multiLevelType w:val="singleLevel"/>
    <w:tmpl w:val="9EEFCC2F"/>
    <w:lvl w:ilvl="0" w:tentative="0">
      <w:start w:val="1"/>
      <w:numFmt w:val="decimal"/>
      <w:suff w:val="nothing"/>
      <w:lvlText w:val="（%1）"/>
      <w:lvlJc w:val="left"/>
    </w:lvl>
  </w:abstractNum>
  <w:abstractNum w:abstractNumId="2">
    <w:nsid w:val="BAA43229"/>
    <w:multiLevelType w:val="singleLevel"/>
    <w:tmpl w:val="BAA43229"/>
    <w:lvl w:ilvl="0" w:tentative="0">
      <w:start w:val="1"/>
      <w:numFmt w:val="decimal"/>
      <w:lvlText w:val="(%1)"/>
      <w:lvlJc w:val="left"/>
      <w:pPr>
        <w:ind w:left="425" w:hanging="425"/>
      </w:pPr>
      <w:rPr>
        <w:rFonts w:hint="default"/>
      </w:rPr>
    </w:lvl>
  </w:abstractNum>
  <w:abstractNum w:abstractNumId="3">
    <w:nsid w:val="C421EB40"/>
    <w:multiLevelType w:val="singleLevel"/>
    <w:tmpl w:val="C421EB40"/>
    <w:lvl w:ilvl="0" w:tentative="0">
      <w:start w:val="1"/>
      <w:numFmt w:val="decimal"/>
      <w:lvlText w:val="(%1)"/>
      <w:lvlJc w:val="left"/>
      <w:pPr>
        <w:ind w:left="425" w:hanging="425"/>
      </w:pPr>
      <w:rPr>
        <w:rFonts w:hint="default"/>
      </w:rPr>
    </w:lvl>
  </w:abstractNum>
  <w:abstractNum w:abstractNumId="4">
    <w:nsid w:val="D549A7E1"/>
    <w:multiLevelType w:val="singleLevel"/>
    <w:tmpl w:val="D549A7E1"/>
    <w:lvl w:ilvl="0" w:tentative="0">
      <w:start w:val="1"/>
      <w:numFmt w:val="decimal"/>
      <w:lvlText w:val="(%1)"/>
      <w:lvlJc w:val="left"/>
      <w:pPr>
        <w:ind w:left="425" w:hanging="425"/>
      </w:pPr>
      <w:rPr>
        <w:rFonts w:hint="default"/>
      </w:rPr>
    </w:lvl>
  </w:abstractNum>
  <w:abstractNum w:abstractNumId="5">
    <w:nsid w:val="E15C5B86"/>
    <w:multiLevelType w:val="singleLevel"/>
    <w:tmpl w:val="E15C5B86"/>
    <w:lvl w:ilvl="0" w:tentative="0">
      <w:start w:val="1"/>
      <w:numFmt w:val="decimal"/>
      <w:lvlText w:val="(%1)"/>
      <w:lvlJc w:val="left"/>
      <w:pPr>
        <w:ind w:left="425" w:hanging="425"/>
      </w:pPr>
      <w:rPr>
        <w:rFonts w:hint="default"/>
      </w:rPr>
    </w:lvl>
  </w:abstractNum>
  <w:abstractNum w:abstractNumId="6">
    <w:nsid w:val="29CC495A"/>
    <w:multiLevelType w:val="singleLevel"/>
    <w:tmpl w:val="29CC495A"/>
    <w:lvl w:ilvl="0" w:tentative="0">
      <w:start w:val="1"/>
      <w:numFmt w:val="decimal"/>
      <w:lvlText w:val="(%1)"/>
      <w:lvlJc w:val="left"/>
      <w:pPr>
        <w:ind w:left="425" w:hanging="425"/>
      </w:pPr>
      <w:rPr>
        <w:rFonts w:hint="default"/>
      </w:rPr>
    </w:lvl>
  </w:abstractNum>
  <w:abstractNum w:abstractNumId="7">
    <w:nsid w:val="4C942975"/>
    <w:multiLevelType w:val="singleLevel"/>
    <w:tmpl w:val="4C942975"/>
    <w:lvl w:ilvl="0" w:tentative="0">
      <w:start w:val="2"/>
      <w:numFmt w:val="decimal"/>
      <w:suff w:val="nothing"/>
      <w:lvlText w:val="%1、"/>
      <w:lvlJc w:val="left"/>
    </w:lvl>
  </w:abstractNum>
  <w:abstractNum w:abstractNumId="8">
    <w:nsid w:val="5B97FDCF"/>
    <w:multiLevelType w:val="singleLevel"/>
    <w:tmpl w:val="5B97FDCF"/>
    <w:lvl w:ilvl="0" w:tentative="0">
      <w:start w:val="1"/>
      <w:numFmt w:val="decimal"/>
      <w:lvlText w:val="(%1)"/>
      <w:lvlJc w:val="left"/>
      <w:pPr>
        <w:ind w:left="425" w:hanging="425"/>
      </w:pPr>
      <w:rPr>
        <w:rFonts w:hint="default"/>
      </w:rPr>
    </w:lvl>
  </w:abstractNum>
  <w:abstractNum w:abstractNumId="9">
    <w:nsid w:val="667F727B"/>
    <w:multiLevelType w:val="multilevel"/>
    <w:tmpl w:val="667F727B"/>
    <w:lvl w:ilvl="0" w:tentative="0">
      <w:start w:val="1"/>
      <w:numFmt w:val="decimal"/>
      <w:pStyle w:val="43"/>
      <w:isLgl/>
      <w:suff w:val="space"/>
      <w:lvlText w:val="%1  "/>
      <w:lvlJc w:val="left"/>
      <w:pPr>
        <w:ind w:left="0" w:firstLine="0"/>
      </w:pPr>
      <w:rPr>
        <w:rFonts w:hint="default" w:ascii="Times New Roman" w:hAnsi="Times New Roman" w:eastAsia="仿宋"/>
        <w:b/>
        <w:i w:val="0"/>
      </w:rPr>
    </w:lvl>
    <w:lvl w:ilvl="1" w:tentative="0">
      <w:start w:val="1"/>
      <w:numFmt w:val="decimal"/>
      <w:pStyle w:val="131"/>
      <w:isLgl/>
      <w:suff w:val="space"/>
      <w:lvlText w:val="%1.%2  "/>
      <w:lvlJc w:val="left"/>
      <w:pPr>
        <w:ind w:left="7654" w:firstLine="0"/>
      </w:pPr>
      <w:rPr>
        <w:rFonts w:hint="default" w:ascii="Times New Roman" w:hAnsi="Times New Roman" w:eastAsia="仿宋"/>
        <w:b/>
        <w:i w:val="0"/>
      </w:rPr>
    </w:lvl>
    <w:lvl w:ilvl="2" w:tentative="0">
      <w:start w:val="1"/>
      <w:numFmt w:val="decimal"/>
      <w:isLgl/>
      <w:suff w:val="space"/>
      <w:lvlText w:val="%1.%2.%3  "/>
      <w:lvlJc w:val="left"/>
      <w:pPr>
        <w:ind w:left="0" w:firstLine="0"/>
      </w:pPr>
      <w:rPr>
        <w:rFonts w:hint="default" w:ascii="Times New Roman" w:hAnsi="Times New Roman" w:eastAsia="仿宋"/>
        <w:b/>
        <w:i w:val="0"/>
        <w:sz w:val="28"/>
        <w:szCs w:val="28"/>
      </w:rPr>
    </w:lvl>
    <w:lvl w:ilvl="3" w:tentative="0">
      <w:start w:val="1"/>
      <w:numFmt w:val="decimal"/>
      <w:isLgl/>
      <w:suff w:val="space"/>
      <w:lvlText w:val="%1.%2.%3.%4  "/>
      <w:lvlJc w:val="left"/>
      <w:pPr>
        <w:ind w:left="0" w:firstLine="0"/>
      </w:pPr>
      <w:rPr>
        <w:rFonts w:hint="default" w:ascii="Times New Roman" w:hAnsi="Times New Roman" w:eastAsia="仿宋"/>
        <w:b/>
        <w:i w:val="0"/>
      </w:rPr>
    </w:lvl>
    <w:lvl w:ilvl="4" w:tentative="0">
      <w:start w:val="1"/>
      <w:numFmt w:val="decimal"/>
      <w:lvlText w:val="%1.%2.%3.%4.%5."/>
      <w:lvlJc w:val="left"/>
      <w:pPr>
        <w:ind w:left="0" w:firstLine="0"/>
      </w:pPr>
      <w:rPr>
        <w:rFonts w:hint="eastAsia"/>
      </w:rPr>
    </w:lvl>
    <w:lvl w:ilvl="5" w:tentative="0">
      <w:start w:val="1"/>
      <w:numFmt w:val="decimal"/>
      <w:lvlText w:val="%1.%2.%3.%4.%5.%6."/>
      <w:lvlJc w:val="left"/>
      <w:pPr>
        <w:ind w:left="0" w:firstLine="0"/>
      </w:pPr>
      <w:rPr>
        <w:rFonts w:hint="eastAsia"/>
      </w:rPr>
    </w:lvl>
    <w:lvl w:ilvl="6" w:tentative="0">
      <w:start w:val="1"/>
      <w:numFmt w:val="decimal"/>
      <w:lvlText w:val="%1.%2.%3.%4.%5.%6.%7."/>
      <w:lvlJc w:val="left"/>
      <w:pPr>
        <w:ind w:left="0" w:firstLine="0"/>
      </w:pPr>
      <w:rPr>
        <w:rFonts w:hint="eastAsia"/>
      </w:rPr>
    </w:lvl>
    <w:lvl w:ilvl="7" w:tentative="0">
      <w:start w:val="1"/>
      <w:numFmt w:val="decimal"/>
      <w:lvlText w:val="%1.%2.%3.%4.%5.%6.%7.%8."/>
      <w:lvlJc w:val="left"/>
      <w:pPr>
        <w:ind w:left="0" w:firstLine="0"/>
      </w:pPr>
      <w:rPr>
        <w:rFonts w:hint="eastAsia"/>
      </w:rPr>
    </w:lvl>
    <w:lvl w:ilvl="8" w:tentative="0">
      <w:start w:val="1"/>
      <w:numFmt w:val="decimal"/>
      <w:lvlText w:val="%1.%2.%3.%4.%5.%6.%7.%8.%9."/>
      <w:lvlJc w:val="left"/>
      <w:pPr>
        <w:ind w:left="0" w:firstLine="0"/>
      </w:pPr>
      <w:rPr>
        <w:rFonts w:hint="eastAsia"/>
      </w:rPr>
    </w:lvl>
  </w:abstractNum>
  <w:abstractNum w:abstractNumId="10">
    <w:nsid w:val="6E9AD5C1"/>
    <w:multiLevelType w:val="singleLevel"/>
    <w:tmpl w:val="6E9AD5C1"/>
    <w:lvl w:ilvl="0" w:tentative="0">
      <w:start w:val="1"/>
      <w:numFmt w:val="upperLetter"/>
      <w:lvlText w:val="%1."/>
      <w:lvlJc w:val="left"/>
      <w:pPr>
        <w:ind w:left="425" w:hanging="425"/>
      </w:pPr>
      <w:rPr>
        <w:rFonts w:hint="default"/>
      </w:rPr>
    </w:lvl>
  </w:abstractNum>
  <w:abstractNum w:abstractNumId="11">
    <w:nsid w:val="723964EC"/>
    <w:multiLevelType w:val="singleLevel"/>
    <w:tmpl w:val="723964EC"/>
    <w:lvl w:ilvl="0" w:tentative="0">
      <w:start w:val="1"/>
      <w:numFmt w:val="decimalEnclosedCircleChinese"/>
      <w:suff w:val="nothing"/>
      <w:lvlText w:val="%1　"/>
      <w:lvlJc w:val="left"/>
      <w:pPr>
        <w:ind w:left="0" w:firstLine="400"/>
      </w:pPr>
      <w:rPr>
        <w:rFonts w:hint="eastAsia"/>
      </w:rPr>
    </w:lvl>
  </w:abstractNum>
  <w:abstractNum w:abstractNumId="12">
    <w:nsid w:val="78065E79"/>
    <w:multiLevelType w:val="multilevel"/>
    <w:tmpl w:val="78065E79"/>
    <w:lvl w:ilvl="0" w:tentative="0">
      <w:start w:val="1"/>
      <w:numFmt w:val="decimal"/>
      <w:pStyle w:val="157"/>
      <w:lvlText w:val="%1  "/>
      <w:lvlJc w:val="center"/>
      <w:pPr>
        <w:ind w:left="0" w:firstLine="288"/>
      </w:pPr>
      <w:rPr>
        <w:rFonts w:hint="default" w:ascii="Times New Roman" w:hAnsi="Times New Roman" w:eastAsia="仿宋"/>
      </w:rPr>
    </w:lvl>
    <w:lvl w:ilvl="1" w:tentative="0">
      <w:start w:val="1"/>
      <w:numFmt w:val="decimal"/>
      <w:pStyle w:val="154"/>
      <w:suff w:val="space"/>
      <w:lvlText w:val="%1.%2   "/>
      <w:lvlJc w:val="left"/>
      <w:pPr>
        <w:ind w:left="0" w:firstLine="0"/>
      </w:pPr>
      <w:rPr>
        <w:rFonts w:hint="default" w:ascii="Times New Roman" w:hAnsi="Times New Roman" w:eastAsia="仿宋"/>
      </w:rPr>
    </w:lvl>
    <w:lvl w:ilvl="2" w:tentative="0">
      <w:start w:val="1"/>
      <w:numFmt w:val="decimal"/>
      <w:suff w:val="space"/>
      <w:lvlText w:val="%1.%2.%3   "/>
      <w:lvlJc w:val="left"/>
      <w:pPr>
        <w:ind w:left="3402" w:firstLine="0"/>
      </w:pPr>
      <w:rPr>
        <w:rFonts w:hint="default" w:ascii="Times New Roman" w:hAnsi="Times New Roman" w:eastAsia="仿宋"/>
      </w:rPr>
    </w:lvl>
    <w:lvl w:ilvl="3" w:tentative="0">
      <w:start w:val="1"/>
      <w:numFmt w:val="decimal"/>
      <w:pStyle w:val="160"/>
      <w:suff w:val="space"/>
      <w:lvlText w:val="%1.%2.%3.%4   "/>
      <w:lvlJc w:val="left"/>
      <w:pPr>
        <w:ind w:left="0" w:firstLine="0"/>
      </w:pPr>
      <w:rPr>
        <w:rFonts w:hint="default" w:ascii="Times New Roman" w:hAnsi="Times New Roman" w:eastAsia="仿宋"/>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9"/>
  </w:num>
  <w:num w:numId="2">
    <w:abstractNumId w:val="9"/>
    <w:lvlOverride w:ilvl="0">
      <w:lvl w:ilvl="0" w:tentative="1">
        <w:start w:val="1"/>
        <w:numFmt w:val="decimal"/>
        <w:isLgl/>
        <w:suff w:val="space"/>
        <w:lvlText w:val="%1  "/>
        <w:lvlJc w:val="left"/>
        <w:pPr>
          <w:ind w:left="0" w:firstLine="0"/>
        </w:pPr>
        <w:rPr>
          <w:rFonts w:hint="default" w:ascii="Times New Roman" w:hAnsi="Times New Roman" w:eastAsia="仿宋"/>
          <w:b/>
          <w:i w:val="0"/>
        </w:rPr>
      </w:lvl>
    </w:lvlOverride>
    <w:lvlOverride w:ilvl="1">
      <w:lvl w:ilvl="1" w:tentative="1">
        <w:start w:val="1"/>
        <w:numFmt w:val="decimal"/>
        <w:isLgl/>
        <w:suff w:val="space"/>
        <w:lvlText w:val="%1.%2  "/>
        <w:lvlJc w:val="left"/>
        <w:pPr>
          <w:ind w:left="0" w:firstLine="0"/>
        </w:pPr>
        <w:rPr>
          <w:rFonts w:hint="default" w:ascii="Times New Roman" w:hAnsi="Times New Roman" w:eastAsia="仿宋"/>
          <w:b/>
          <w:i w:val="0"/>
        </w:rPr>
      </w:lvl>
    </w:lvlOverride>
    <w:lvlOverride w:ilvl="2">
      <w:lvl w:ilvl="2" w:tentative="1">
        <w:start w:val="1"/>
        <w:numFmt w:val="decimal"/>
        <w:pStyle w:val="132"/>
        <w:isLgl/>
        <w:suff w:val="space"/>
        <w:lvlText w:val="%1.%2.%3  "/>
        <w:lvlJc w:val="left"/>
        <w:pPr>
          <w:ind w:left="3118" w:firstLine="0"/>
        </w:pPr>
        <w:rPr>
          <w:rFonts w:hint="default" w:ascii="Times New Roman" w:hAnsi="Times New Roman" w:eastAsia="仿宋"/>
          <w:b/>
          <w:i w:val="0"/>
          <w:sz w:val="28"/>
          <w:szCs w:val="28"/>
        </w:rPr>
      </w:lvl>
    </w:lvlOverride>
    <w:lvlOverride w:ilvl="3">
      <w:lvl w:ilvl="3" w:tentative="1">
        <w:start w:val="1"/>
        <w:numFmt w:val="decimal"/>
        <w:isLgl/>
        <w:suff w:val="space"/>
        <w:lvlText w:val="%1.%2.%3.%4  "/>
        <w:lvlJc w:val="left"/>
        <w:pPr>
          <w:ind w:left="0" w:firstLine="0"/>
        </w:pPr>
        <w:rPr>
          <w:rFonts w:hint="default" w:ascii="Times New Roman" w:hAnsi="Times New Roman" w:eastAsia="仿宋"/>
          <w:b/>
          <w:i w:val="0"/>
        </w:rPr>
      </w:lvl>
    </w:lvlOverride>
    <w:lvlOverride w:ilvl="4">
      <w:lvl w:ilvl="4" w:tentative="1">
        <w:start w:val="1"/>
        <w:numFmt w:val="decimal"/>
        <w:lvlText w:val="%1.%2.%3.%4.%5."/>
        <w:lvlJc w:val="left"/>
        <w:pPr>
          <w:ind w:left="0" w:firstLine="0"/>
        </w:pPr>
        <w:rPr>
          <w:rFonts w:hint="eastAsia"/>
        </w:rPr>
      </w:lvl>
    </w:lvlOverride>
    <w:lvlOverride w:ilvl="5">
      <w:lvl w:ilvl="5" w:tentative="1">
        <w:start w:val="1"/>
        <w:numFmt w:val="decimal"/>
        <w:lvlText w:val="%1.%2.%3.%4.%5.%6."/>
        <w:lvlJc w:val="left"/>
        <w:pPr>
          <w:ind w:left="0" w:firstLine="0"/>
        </w:pPr>
        <w:rPr>
          <w:rFonts w:hint="eastAsia"/>
        </w:rPr>
      </w:lvl>
    </w:lvlOverride>
    <w:lvlOverride w:ilvl="6">
      <w:lvl w:ilvl="6" w:tentative="1">
        <w:start w:val="1"/>
        <w:numFmt w:val="decimal"/>
        <w:lvlText w:val="%1.%2.%3.%4.%5.%6.%7."/>
        <w:lvlJc w:val="left"/>
        <w:pPr>
          <w:ind w:left="0" w:firstLine="0"/>
        </w:pPr>
        <w:rPr>
          <w:rFonts w:hint="eastAsia"/>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3">
    <w:abstractNumId w:val="9"/>
    <w:lvlOverride w:ilvl="0">
      <w:lvl w:ilvl="0" w:tentative="1">
        <w:start w:val="1"/>
        <w:numFmt w:val="decimal"/>
        <w:isLgl/>
        <w:suff w:val="space"/>
        <w:lvlText w:val="%1  "/>
        <w:lvlJc w:val="left"/>
        <w:pPr>
          <w:ind w:left="0" w:firstLine="0"/>
        </w:pPr>
        <w:rPr>
          <w:rFonts w:hint="default" w:ascii="Times New Roman" w:hAnsi="Times New Roman" w:eastAsia="仿宋"/>
          <w:b/>
          <w:i w:val="0"/>
        </w:rPr>
      </w:lvl>
    </w:lvlOverride>
    <w:lvlOverride w:ilvl="1">
      <w:lvl w:ilvl="1" w:tentative="1">
        <w:start w:val="1"/>
        <w:numFmt w:val="decimal"/>
        <w:isLgl/>
        <w:suff w:val="space"/>
        <w:lvlText w:val="%1.%2  "/>
        <w:lvlJc w:val="left"/>
        <w:pPr>
          <w:ind w:left="0" w:firstLine="0"/>
        </w:pPr>
        <w:rPr>
          <w:rFonts w:hint="default" w:ascii="Times New Roman" w:hAnsi="Times New Roman" w:eastAsia="仿宋"/>
          <w:b/>
          <w:i w:val="0"/>
        </w:rPr>
      </w:lvl>
    </w:lvlOverride>
    <w:lvlOverride w:ilvl="2">
      <w:lvl w:ilvl="2" w:tentative="1">
        <w:start w:val="1"/>
        <w:numFmt w:val="decimal"/>
        <w:isLgl/>
        <w:suff w:val="space"/>
        <w:lvlText w:val="%1.%2.%3  "/>
        <w:lvlJc w:val="left"/>
        <w:pPr>
          <w:ind w:left="0" w:firstLine="0"/>
        </w:pPr>
        <w:rPr>
          <w:rFonts w:hint="default" w:ascii="Times New Roman" w:hAnsi="Times New Roman" w:eastAsia="仿宋"/>
          <w:b/>
          <w:i w:val="0"/>
          <w:sz w:val="28"/>
          <w:szCs w:val="28"/>
        </w:rPr>
      </w:lvl>
    </w:lvlOverride>
    <w:lvlOverride w:ilvl="3">
      <w:lvl w:ilvl="3" w:tentative="1">
        <w:start w:val="1"/>
        <w:numFmt w:val="decimal"/>
        <w:pStyle w:val="136"/>
        <w:isLgl/>
        <w:suff w:val="space"/>
        <w:lvlText w:val="%1.%2.%3.%4  "/>
        <w:lvlJc w:val="left"/>
        <w:pPr>
          <w:ind w:left="567" w:firstLine="0"/>
        </w:pPr>
        <w:rPr>
          <w:rFonts w:hint="default" w:ascii="Times New Roman" w:hAnsi="Times New Roman" w:eastAsia="仿宋"/>
          <w:b/>
          <w:i w:val="0"/>
        </w:rPr>
      </w:lvl>
    </w:lvlOverride>
    <w:lvlOverride w:ilvl="4">
      <w:lvl w:ilvl="4" w:tentative="1">
        <w:start w:val="1"/>
        <w:numFmt w:val="decimal"/>
        <w:lvlText w:val="%1.%2.%3.%4.%5."/>
        <w:lvlJc w:val="left"/>
        <w:pPr>
          <w:ind w:left="0" w:firstLine="0"/>
        </w:pPr>
        <w:rPr>
          <w:rFonts w:hint="eastAsia"/>
        </w:rPr>
      </w:lvl>
    </w:lvlOverride>
    <w:lvlOverride w:ilvl="5">
      <w:lvl w:ilvl="5" w:tentative="1">
        <w:start w:val="1"/>
        <w:numFmt w:val="decimal"/>
        <w:lvlText w:val="%1.%2.%3.%4.%5.%6."/>
        <w:lvlJc w:val="left"/>
        <w:pPr>
          <w:ind w:left="0" w:firstLine="0"/>
        </w:pPr>
        <w:rPr>
          <w:rFonts w:hint="eastAsia"/>
        </w:rPr>
      </w:lvl>
    </w:lvlOverride>
    <w:lvlOverride w:ilvl="6">
      <w:lvl w:ilvl="6" w:tentative="1">
        <w:start w:val="1"/>
        <w:numFmt w:val="decimal"/>
        <w:lvlText w:val="%1.%2.%3.%4.%5.%6.%7."/>
        <w:lvlJc w:val="left"/>
        <w:pPr>
          <w:ind w:left="0" w:firstLine="0"/>
        </w:pPr>
        <w:rPr>
          <w:rFonts w:hint="eastAsia"/>
        </w:rPr>
      </w:lvl>
    </w:lvlOverride>
    <w:lvlOverride w:ilvl="7">
      <w:lvl w:ilvl="7" w:tentative="1">
        <w:start w:val="1"/>
        <w:numFmt w:val="decimal"/>
        <w:lvlText w:val="%1.%2.%3.%4.%5.%6.%7.%8."/>
        <w:lvlJc w:val="left"/>
        <w:pPr>
          <w:ind w:left="0" w:firstLine="0"/>
        </w:pPr>
        <w:rPr>
          <w:rFonts w:hint="eastAsia"/>
        </w:rPr>
      </w:lvl>
    </w:lvlOverride>
    <w:lvlOverride w:ilvl="8">
      <w:lvl w:ilvl="8" w:tentative="1">
        <w:start w:val="1"/>
        <w:numFmt w:val="decimal"/>
        <w:lvlText w:val="%1.%2.%3.%4.%5.%6.%7.%8.%9."/>
        <w:lvlJc w:val="left"/>
        <w:pPr>
          <w:ind w:left="0" w:firstLine="0"/>
        </w:pPr>
        <w:rPr>
          <w:rFonts w:hint="eastAsia"/>
        </w:rPr>
      </w:lvl>
    </w:lvlOverride>
  </w:num>
  <w:num w:numId="4">
    <w:abstractNumId w:val="12"/>
  </w:num>
  <w:num w:numId="5">
    <w:abstractNumId w:val="12"/>
    <w:lvlOverride w:ilvl="0">
      <w:lvl w:ilvl="0" w:tentative="1">
        <w:start w:val="1"/>
        <w:numFmt w:val="decimal"/>
        <w:lvlText w:val="%1  "/>
        <w:lvlJc w:val="center"/>
        <w:pPr>
          <w:ind w:left="0" w:firstLine="288"/>
        </w:pPr>
        <w:rPr>
          <w:rFonts w:hint="default" w:ascii="Times New Roman" w:hAnsi="Times New Roman" w:eastAsia="仿宋"/>
        </w:rPr>
      </w:lvl>
    </w:lvlOverride>
    <w:lvlOverride w:ilvl="1">
      <w:lvl w:ilvl="1" w:tentative="1">
        <w:start w:val="1"/>
        <w:numFmt w:val="decimal"/>
        <w:suff w:val="space"/>
        <w:lvlText w:val="%1.%2   "/>
        <w:lvlJc w:val="left"/>
        <w:pPr>
          <w:ind w:left="0" w:firstLine="0"/>
        </w:pPr>
        <w:rPr>
          <w:rFonts w:hint="default" w:ascii="Times New Roman" w:hAnsi="Times New Roman" w:eastAsia="仿宋"/>
        </w:rPr>
      </w:lvl>
    </w:lvlOverride>
    <w:lvlOverride w:ilvl="2">
      <w:lvl w:ilvl="2" w:tentative="1">
        <w:start w:val="1"/>
        <w:numFmt w:val="decimal"/>
        <w:pStyle w:val="155"/>
        <w:suff w:val="space"/>
        <w:lvlText w:val="%1.%2.%3   "/>
        <w:lvlJc w:val="left"/>
        <w:pPr>
          <w:ind w:left="1843" w:firstLine="0"/>
        </w:pPr>
        <w:rPr>
          <w:rFonts w:hint="default" w:ascii="Times New Roman" w:hAnsi="Times New Roman" w:eastAsia="仿宋"/>
        </w:rPr>
      </w:lvl>
    </w:lvlOverride>
    <w:lvlOverride w:ilvl="3">
      <w:lvl w:ilvl="3" w:tentative="1">
        <w:start w:val="1"/>
        <w:numFmt w:val="decimal"/>
        <w:suff w:val="space"/>
        <w:lvlText w:val="%1.%2.%3.%4   "/>
        <w:lvlJc w:val="left"/>
        <w:pPr>
          <w:ind w:left="0" w:firstLine="0"/>
        </w:pPr>
        <w:rPr>
          <w:rFonts w:hint="default" w:ascii="Times New Roman" w:hAnsi="Times New Roman" w:eastAsia="仿宋"/>
        </w:rPr>
      </w:lvl>
    </w:lvlOverride>
    <w:lvlOverride w:ilvl="4">
      <w:lvl w:ilvl="4" w:tentative="1">
        <w:start w:val="1"/>
        <w:numFmt w:val="decimal"/>
        <w:lvlText w:val="%1.%2.%3.%4.%5"/>
        <w:lvlJc w:val="left"/>
        <w:pPr>
          <w:ind w:left="2551" w:hanging="850"/>
        </w:pPr>
        <w:rPr>
          <w:rFonts w:hint="eastAsia"/>
        </w:rPr>
      </w:lvl>
    </w:lvlOverride>
    <w:lvlOverride w:ilvl="5">
      <w:lvl w:ilvl="5" w:tentative="1">
        <w:start w:val="1"/>
        <w:numFmt w:val="decimal"/>
        <w:lvlText w:val="%1.%2.%3.%4.%5.%6"/>
        <w:lvlJc w:val="left"/>
        <w:pPr>
          <w:ind w:left="3260" w:hanging="1134"/>
        </w:pPr>
        <w:rPr>
          <w:rFonts w:hint="eastAsia"/>
        </w:rPr>
      </w:lvl>
    </w:lvlOverride>
    <w:lvlOverride w:ilvl="6">
      <w:lvl w:ilvl="6" w:tentative="1">
        <w:start w:val="1"/>
        <w:numFmt w:val="decimal"/>
        <w:lvlText w:val="%1.%2.%3.%4.%5.%6.%7"/>
        <w:lvlJc w:val="left"/>
        <w:pPr>
          <w:ind w:left="3827" w:hanging="1276"/>
        </w:pPr>
        <w:rPr>
          <w:rFonts w:hint="eastAsia"/>
        </w:rPr>
      </w:lvl>
    </w:lvlOverride>
    <w:lvlOverride w:ilvl="7">
      <w:lvl w:ilvl="7" w:tentative="1">
        <w:start w:val="1"/>
        <w:numFmt w:val="decimal"/>
        <w:lvlText w:val="%1.%2.%3.%4.%5.%6.%7.%8"/>
        <w:lvlJc w:val="left"/>
        <w:pPr>
          <w:ind w:left="4394" w:hanging="1418"/>
        </w:pPr>
        <w:rPr>
          <w:rFonts w:hint="eastAsia"/>
        </w:rPr>
      </w:lvl>
    </w:lvlOverride>
    <w:lvlOverride w:ilvl="8">
      <w:lvl w:ilvl="8" w:tentative="1">
        <w:start w:val="1"/>
        <w:numFmt w:val="decimal"/>
        <w:lvlText w:val="%1.%2.%3.%4.%5.%6.%7.%8.%9"/>
        <w:lvlJc w:val="left"/>
        <w:pPr>
          <w:ind w:left="5102" w:hanging="1700"/>
        </w:pPr>
        <w:rPr>
          <w:rFonts w:hint="eastAsia"/>
        </w:rPr>
      </w:lvl>
    </w:lvlOverride>
  </w:num>
  <w:num w:numId="6">
    <w:abstractNumId w:val="5"/>
  </w:num>
  <w:num w:numId="7">
    <w:abstractNumId w:val="2"/>
  </w:num>
  <w:num w:numId="8">
    <w:abstractNumId w:val="6"/>
  </w:num>
  <w:num w:numId="9">
    <w:abstractNumId w:val="10"/>
  </w:num>
  <w:num w:numId="10">
    <w:abstractNumId w:val="1"/>
  </w:num>
  <w:num w:numId="11">
    <w:abstractNumId w:val="8"/>
  </w:num>
  <w:num w:numId="12">
    <w:abstractNumId w:val="11"/>
  </w:num>
  <w:num w:numId="13">
    <w:abstractNumId w:val="3"/>
  </w:num>
  <w:num w:numId="14">
    <w:abstractNumId w:val="4"/>
  </w:num>
  <w:num w:numId="15">
    <w:abstractNumId w:val="7"/>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0"/>
  <w:bordersDoNotSurroundFooter w:val="0"/>
  <w:hideSpellingErrors/>
  <w:documentProtection w:enforcement="0"/>
  <w:defaultTabStop w:val="720"/>
  <w:drawingGridHorizontalSpacing w:val="105"/>
  <w:displayHorizontalDrawingGridEvery w:val="1"/>
  <w:displayVerticalDrawingGridEvery w:val="1"/>
  <w:noPunctuationKerning w:val="1"/>
  <w:characterSpacingControl w:val="doNotCompress"/>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6529"/>
    <w:rsid w:val="000003DA"/>
    <w:rsid w:val="000005E4"/>
    <w:rsid w:val="00000A51"/>
    <w:rsid w:val="000023E9"/>
    <w:rsid w:val="000025EF"/>
    <w:rsid w:val="00002A9A"/>
    <w:rsid w:val="00003439"/>
    <w:rsid w:val="0000370F"/>
    <w:rsid w:val="00003A00"/>
    <w:rsid w:val="00005099"/>
    <w:rsid w:val="000055A0"/>
    <w:rsid w:val="00005AD9"/>
    <w:rsid w:val="0000622A"/>
    <w:rsid w:val="00006E90"/>
    <w:rsid w:val="0000745D"/>
    <w:rsid w:val="00007659"/>
    <w:rsid w:val="0000782B"/>
    <w:rsid w:val="000103AB"/>
    <w:rsid w:val="00011021"/>
    <w:rsid w:val="000142EA"/>
    <w:rsid w:val="00014E62"/>
    <w:rsid w:val="0001529E"/>
    <w:rsid w:val="0001598F"/>
    <w:rsid w:val="00015DE9"/>
    <w:rsid w:val="00016E26"/>
    <w:rsid w:val="00017703"/>
    <w:rsid w:val="00017AC2"/>
    <w:rsid w:val="0002046D"/>
    <w:rsid w:val="000220A2"/>
    <w:rsid w:val="00022EF4"/>
    <w:rsid w:val="00022F55"/>
    <w:rsid w:val="0002384D"/>
    <w:rsid w:val="00024D59"/>
    <w:rsid w:val="00024D5A"/>
    <w:rsid w:val="0002602A"/>
    <w:rsid w:val="000260BD"/>
    <w:rsid w:val="00026369"/>
    <w:rsid w:val="000265E4"/>
    <w:rsid w:val="00026677"/>
    <w:rsid w:val="00026788"/>
    <w:rsid w:val="00026B9F"/>
    <w:rsid w:val="00026C92"/>
    <w:rsid w:val="00026D2C"/>
    <w:rsid w:val="000272C2"/>
    <w:rsid w:val="00027322"/>
    <w:rsid w:val="000275B4"/>
    <w:rsid w:val="000276CB"/>
    <w:rsid w:val="0002778E"/>
    <w:rsid w:val="00030535"/>
    <w:rsid w:val="0003138C"/>
    <w:rsid w:val="000314AE"/>
    <w:rsid w:val="00031ED7"/>
    <w:rsid w:val="00032800"/>
    <w:rsid w:val="000330B9"/>
    <w:rsid w:val="0003390A"/>
    <w:rsid w:val="0003398D"/>
    <w:rsid w:val="00033E23"/>
    <w:rsid w:val="00033F76"/>
    <w:rsid w:val="000343D6"/>
    <w:rsid w:val="00035827"/>
    <w:rsid w:val="00035A6E"/>
    <w:rsid w:val="000374B6"/>
    <w:rsid w:val="0004059F"/>
    <w:rsid w:val="00040798"/>
    <w:rsid w:val="000409BD"/>
    <w:rsid w:val="00041E9C"/>
    <w:rsid w:val="000420ED"/>
    <w:rsid w:val="000429CE"/>
    <w:rsid w:val="00042D26"/>
    <w:rsid w:val="00042E38"/>
    <w:rsid w:val="0004336C"/>
    <w:rsid w:val="000438E0"/>
    <w:rsid w:val="00044210"/>
    <w:rsid w:val="00044828"/>
    <w:rsid w:val="00044C03"/>
    <w:rsid w:val="0004530F"/>
    <w:rsid w:val="00045A5D"/>
    <w:rsid w:val="00045DAB"/>
    <w:rsid w:val="00045E82"/>
    <w:rsid w:val="00045FB5"/>
    <w:rsid w:val="00046061"/>
    <w:rsid w:val="00046DD2"/>
    <w:rsid w:val="00046F4A"/>
    <w:rsid w:val="00047E3E"/>
    <w:rsid w:val="000514C9"/>
    <w:rsid w:val="000515CF"/>
    <w:rsid w:val="0005179D"/>
    <w:rsid w:val="0005184C"/>
    <w:rsid w:val="00051980"/>
    <w:rsid w:val="00051D3A"/>
    <w:rsid w:val="000522BF"/>
    <w:rsid w:val="00052928"/>
    <w:rsid w:val="0005393D"/>
    <w:rsid w:val="00054087"/>
    <w:rsid w:val="00054276"/>
    <w:rsid w:val="000556FD"/>
    <w:rsid w:val="0005584E"/>
    <w:rsid w:val="00055C26"/>
    <w:rsid w:val="00056AC8"/>
    <w:rsid w:val="000601DB"/>
    <w:rsid w:val="00060849"/>
    <w:rsid w:val="00060BC2"/>
    <w:rsid w:val="00060E67"/>
    <w:rsid w:val="00061872"/>
    <w:rsid w:val="00061BE8"/>
    <w:rsid w:val="00061C26"/>
    <w:rsid w:val="0006276C"/>
    <w:rsid w:val="00062A62"/>
    <w:rsid w:val="0006357B"/>
    <w:rsid w:val="00063BF9"/>
    <w:rsid w:val="00064409"/>
    <w:rsid w:val="00064906"/>
    <w:rsid w:val="00064A8C"/>
    <w:rsid w:val="00064F78"/>
    <w:rsid w:val="00065770"/>
    <w:rsid w:val="00065D4F"/>
    <w:rsid w:val="000672A1"/>
    <w:rsid w:val="00067A24"/>
    <w:rsid w:val="00067CEC"/>
    <w:rsid w:val="00067FAC"/>
    <w:rsid w:val="00070220"/>
    <w:rsid w:val="0007125E"/>
    <w:rsid w:val="000716A5"/>
    <w:rsid w:val="00071A20"/>
    <w:rsid w:val="00071B28"/>
    <w:rsid w:val="00071E8F"/>
    <w:rsid w:val="000727F1"/>
    <w:rsid w:val="00072831"/>
    <w:rsid w:val="00072B15"/>
    <w:rsid w:val="00073C18"/>
    <w:rsid w:val="00073CE5"/>
    <w:rsid w:val="000743D8"/>
    <w:rsid w:val="00074601"/>
    <w:rsid w:val="00074BD5"/>
    <w:rsid w:val="00074E70"/>
    <w:rsid w:val="00074FD9"/>
    <w:rsid w:val="000759FC"/>
    <w:rsid w:val="000760D2"/>
    <w:rsid w:val="00077509"/>
    <w:rsid w:val="000801B3"/>
    <w:rsid w:val="00080BAF"/>
    <w:rsid w:val="00080C76"/>
    <w:rsid w:val="00080EFB"/>
    <w:rsid w:val="00081879"/>
    <w:rsid w:val="00081DC7"/>
    <w:rsid w:val="00081E21"/>
    <w:rsid w:val="00081F94"/>
    <w:rsid w:val="00082893"/>
    <w:rsid w:val="0008321D"/>
    <w:rsid w:val="0008440D"/>
    <w:rsid w:val="00084847"/>
    <w:rsid w:val="00084E15"/>
    <w:rsid w:val="00085111"/>
    <w:rsid w:val="00085293"/>
    <w:rsid w:val="00085DCB"/>
    <w:rsid w:val="00085E24"/>
    <w:rsid w:val="00086272"/>
    <w:rsid w:val="00086357"/>
    <w:rsid w:val="00086767"/>
    <w:rsid w:val="00086EAE"/>
    <w:rsid w:val="000873E0"/>
    <w:rsid w:val="00087500"/>
    <w:rsid w:val="00087B00"/>
    <w:rsid w:val="00087C22"/>
    <w:rsid w:val="0009026B"/>
    <w:rsid w:val="00090E40"/>
    <w:rsid w:val="00091DBD"/>
    <w:rsid w:val="000928C2"/>
    <w:rsid w:val="00092B7C"/>
    <w:rsid w:val="00092FFC"/>
    <w:rsid w:val="000936EC"/>
    <w:rsid w:val="000937FF"/>
    <w:rsid w:val="00093A8A"/>
    <w:rsid w:val="00093F21"/>
    <w:rsid w:val="00094114"/>
    <w:rsid w:val="000945B6"/>
    <w:rsid w:val="0009488D"/>
    <w:rsid w:val="00094AAD"/>
    <w:rsid w:val="00094EF9"/>
    <w:rsid w:val="0009544C"/>
    <w:rsid w:val="00096438"/>
    <w:rsid w:val="00096B86"/>
    <w:rsid w:val="00097BF9"/>
    <w:rsid w:val="000A05B6"/>
    <w:rsid w:val="000A05BD"/>
    <w:rsid w:val="000A0AD3"/>
    <w:rsid w:val="000A137F"/>
    <w:rsid w:val="000A14CB"/>
    <w:rsid w:val="000A2075"/>
    <w:rsid w:val="000A2B8D"/>
    <w:rsid w:val="000A2DC5"/>
    <w:rsid w:val="000A2E92"/>
    <w:rsid w:val="000A31ED"/>
    <w:rsid w:val="000A347C"/>
    <w:rsid w:val="000A39A8"/>
    <w:rsid w:val="000A3BF7"/>
    <w:rsid w:val="000A3DB0"/>
    <w:rsid w:val="000A45D1"/>
    <w:rsid w:val="000A48B7"/>
    <w:rsid w:val="000A4F2A"/>
    <w:rsid w:val="000A51C3"/>
    <w:rsid w:val="000A55CA"/>
    <w:rsid w:val="000A5636"/>
    <w:rsid w:val="000A5B2A"/>
    <w:rsid w:val="000A60A6"/>
    <w:rsid w:val="000A60D4"/>
    <w:rsid w:val="000A632A"/>
    <w:rsid w:val="000A6F4F"/>
    <w:rsid w:val="000A723B"/>
    <w:rsid w:val="000A72B0"/>
    <w:rsid w:val="000A72E9"/>
    <w:rsid w:val="000A732F"/>
    <w:rsid w:val="000A75D3"/>
    <w:rsid w:val="000A794F"/>
    <w:rsid w:val="000A7B79"/>
    <w:rsid w:val="000B000C"/>
    <w:rsid w:val="000B09F3"/>
    <w:rsid w:val="000B1B4F"/>
    <w:rsid w:val="000B2005"/>
    <w:rsid w:val="000B236C"/>
    <w:rsid w:val="000B25B8"/>
    <w:rsid w:val="000B28AD"/>
    <w:rsid w:val="000B3102"/>
    <w:rsid w:val="000B451F"/>
    <w:rsid w:val="000B46D6"/>
    <w:rsid w:val="000B487E"/>
    <w:rsid w:val="000B4914"/>
    <w:rsid w:val="000B4C57"/>
    <w:rsid w:val="000B5243"/>
    <w:rsid w:val="000B5666"/>
    <w:rsid w:val="000B5A5D"/>
    <w:rsid w:val="000B5F5D"/>
    <w:rsid w:val="000B6B28"/>
    <w:rsid w:val="000B6C7D"/>
    <w:rsid w:val="000B6D45"/>
    <w:rsid w:val="000B6DF7"/>
    <w:rsid w:val="000B71AD"/>
    <w:rsid w:val="000C0940"/>
    <w:rsid w:val="000C1838"/>
    <w:rsid w:val="000C1E5C"/>
    <w:rsid w:val="000C3B28"/>
    <w:rsid w:val="000C4559"/>
    <w:rsid w:val="000C49CE"/>
    <w:rsid w:val="000C57B9"/>
    <w:rsid w:val="000C598E"/>
    <w:rsid w:val="000C5B19"/>
    <w:rsid w:val="000C6105"/>
    <w:rsid w:val="000C6E0E"/>
    <w:rsid w:val="000C6E87"/>
    <w:rsid w:val="000C7244"/>
    <w:rsid w:val="000C7359"/>
    <w:rsid w:val="000C74B7"/>
    <w:rsid w:val="000C74EA"/>
    <w:rsid w:val="000C760C"/>
    <w:rsid w:val="000C7A84"/>
    <w:rsid w:val="000C7BFC"/>
    <w:rsid w:val="000C7DAE"/>
    <w:rsid w:val="000D03CE"/>
    <w:rsid w:val="000D0ACC"/>
    <w:rsid w:val="000D0C18"/>
    <w:rsid w:val="000D0E5A"/>
    <w:rsid w:val="000D1B6B"/>
    <w:rsid w:val="000D3565"/>
    <w:rsid w:val="000D3664"/>
    <w:rsid w:val="000D42BC"/>
    <w:rsid w:val="000D4872"/>
    <w:rsid w:val="000D49AD"/>
    <w:rsid w:val="000D54BC"/>
    <w:rsid w:val="000D61C6"/>
    <w:rsid w:val="000D6552"/>
    <w:rsid w:val="000D6C7C"/>
    <w:rsid w:val="000D70C1"/>
    <w:rsid w:val="000D7B46"/>
    <w:rsid w:val="000E09C8"/>
    <w:rsid w:val="000E0ACC"/>
    <w:rsid w:val="000E1183"/>
    <w:rsid w:val="000E15A8"/>
    <w:rsid w:val="000E1839"/>
    <w:rsid w:val="000E33E4"/>
    <w:rsid w:val="000E340D"/>
    <w:rsid w:val="000E376E"/>
    <w:rsid w:val="000E423E"/>
    <w:rsid w:val="000E5602"/>
    <w:rsid w:val="000E5A35"/>
    <w:rsid w:val="000E62B0"/>
    <w:rsid w:val="000E6683"/>
    <w:rsid w:val="000F007C"/>
    <w:rsid w:val="000F04E2"/>
    <w:rsid w:val="000F1128"/>
    <w:rsid w:val="000F120F"/>
    <w:rsid w:val="000F1A12"/>
    <w:rsid w:val="000F223F"/>
    <w:rsid w:val="000F2D7C"/>
    <w:rsid w:val="000F378F"/>
    <w:rsid w:val="000F4B3D"/>
    <w:rsid w:val="000F51A1"/>
    <w:rsid w:val="000F5400"/>
    <w:rsid w:val="000F58C0"/>
    <w:rsid w:val="000F5F36"/>
    <w:rsid w:val="000F67FF"/>
    <w:rsid w:val="000F6FB8"/>
    <w:rsid w:val="000F703F"/>
    <w:rsid w:val="000F7BE7"/>
    <w:rsid w:val="000F7F33"/>
    <w:rsid w:val="001009B1"/>
    <w:rsid w:val="00102405"/>
    <w:rsid w:val="001031AF"/>
    <w:rsid w:val="001032C1"/>
    <w:rsid w:val="0010349D"/>
    <w:rsid w:val="00103FFD"/>
    <w:rsid w:val="00104615"/>
    <w:rsid w:val="00104845"/>
    <w:rsid w:val="00104E21"/>
    <w:rsid w:val="00105A65"/>
    <w:rsid w:val="00105CF6"/>
    <w:rsid w:val="00106135"/>
    <w:rsid w:val="00110678"/>
    <w:rsid w:val="00111540"/>
    <w:rsid w:val="00111D29"/>
    <w:rsid w:val="00111F47"/>
    <w:rsid w:val="0011288D"/>
    <w:rsid w:val="0011338F"/>
    <w:rsid w:val="00113A40"/>
    <w:rsid w:val="00113C2D"/>
    <w:rsid w:val="00113D58"/>
    <w:rsid w:val="00113DD7"/>
    <w:rsid w:val="00114119"/>
    <w:rsid w:val="0011457D"/>
    <w:rsid w:val="00114685"/>
    <w:rsid w:val="001148E8"/>
    <w:rsid w:val="00114C8C"/>
    <w:rsid w:val="00115BC0"/>
    <w:rsid w:val="001163CF"/>
    <w:rsid w:val="00116420"/>
    <w:rsid w:val="00116470"/>
    <w:rsid w:val="0011651F"/>
    <w:rsid w:val="00116981"/>
    <w:rsid w:val="00116F6F"/>
    <w:rsid w:val="00117054"/>
    <w:rsid w:val="001174BD"/>
    <w:rsid w:val="0011767F"/>
    <w:rsid w:val="00117743"/>
    <w:rsid w:val="00117AC6"/>
    <w:rsid w:val="00120DE0"/>
    <w:rsid w:val="00122EEC"/>
    <w:rsid w:val="001234F3"/>
    <w:rsid w:val="00123A55"/>
    <w:rsid w:val="00123A89"/>
    <w:rsid w:val="00123C53"/>
    <w:rsid w:val="00123DC1"/>
    <w:rsid w:val="001244A0"/>
    <w:rsid w:val="0012465C"/>
    <w:rsid w:val="001246BC"/>
    <w:rsid w:val="001259BF"/>
    <w:rsid w:val="00125B8B"/>
    <w:rsid w:val="00125FCE"/>
    <w:rsid w:val="001260E7"/>
    <w:rsid w:val="001266B6"/>
    <w:rsid w:val="00126DC5"/>
    <w:rsid w:val="001271E9"/>
    <w:rsid w:val="001304F8"/>
    <w:rsid w:val="001309D1"/>
    <w:rsid w:val="00131293"/>
    <w:rsid w:val="00131339"/>
    <w:rsid w:val="00131864"/>
    <w:rsid w:val="00131F3F"/>
    <w:rsid w:val="0013242A"/>
    <w:rsid w:val="001326A4"/>
    <w:rsid w:val="00132AEE"/>
    <w:rsid w:val="00132F27"/>
    <w:rsid w:val="00134C20"/>
    <w:rsid w:val="00135121"/>
    <w:rsid w:val="00135365"/>
    <w:rsid w:val="00136625"/>
    <w:rsid w:val="0013689A"/>
    <w:rsid w:val="00136DCF"/>
    <w:rsid w:val="00136E51"/>
    <w:rsid w:val="00136EA6"/>
    <w:rsid w:val="0014037C"/>
    <w:rsid w:val="00140715"/>
    <w:rsid w:val="00141117"/>
    <w:rsid w:val="00141817"/>
    <w:rsid w:val="00141AC4"/>
    <w:rsid w:val="00141B57"/>
    <w:rsid w:val="00142157"/>
    <w:rsid w:val="00142304"/>
    <w:rsid w:val="00142564"/>
    <w:rsid w:val="00142B77"/>
    <w:rsid w:val="00143706"/>
    <w:rsid w:val="00144545"/>
    <w:rsid w:val="001450E7"/>
    <w:rsid w:val="0014665A"/>
    <w:rsid w:val="00146E45"/>
    <w:rsid w:val="00147719"/>
    <w:rsid w:val="00147811"/>
    <w:rsid w:val="00147D36"/>
    <w:rsid w:val="00147FD6"/>
    <w:rsid w:val="001501C4"/>
    <w:rsid w:val="001503BD"/>
    <w:rsid w:val="00151825"/>
    <w:rsid w:val="00152763"/>
    <w:rsid w:val="00152962"/>
    <w:rsid w:val="00153A83"/>
    <w:rsid w:val="00153C88"/>
    <w:rsid w:val="00154329"/>
    <w:rsid w:val="00154963"/>
    <w:rsid w:val="00155078"/>
    <w:rsid w:val="00155534"/>
    <w:rsid w:val="00155FAB"/>
    <w:rsid w:val="00156974"/>
    <w:rsid w:val="001569D4"/>
    <w:rsid w:val="00156EFB"/>
    <w:rsid w:val="0015710B"/>
    <w:rsid w:val="00157AFD"/>
    <w:rsid w:val="001605B3"/>
    <w:rsid w:val="0016073A"/>
    <w:rsid w:val="0016253E"/>
    <w:rsid w:val="00162AED"/>
    <w:rsid w:val="00163252"/>
    <w:rsid w:val="001639AA"/>
    <w:rsid w:val="00163C59"/>
    <w:rsid w:val="00164041"/>
    <w:rsid w:val="001641A5"/>
    <w:rsid w:val="001642B3"/>
    <w:rsid w:val="001657F2"/>
    <w:rsid w:val="001664C1"/>
    <w:rsid w:val="001669AE"/>
    <w:rsid w:val="00166AE1"/>
    <w:rsid w:val="00166CDC"/>
    <w:rsid w:val="00166D59"/>
    <w:rsid w:val="00167148"/>
    <w:rsid w:val="00167E00"/>
    <w:rsid w:val="001704E1"/>
    <w:rsid w:val="00170590"/>
    <w:rsid w:val="00171224"/>
    <w:rsid w:val="001718BB"/>
    <w:rsid w:val="00171B79"/>
    <w:rsid w:val="00171DFC"/>
    <w:rsid w:val="00172043"/>
    <w:rsid w:val="001725C5"/>
    <w:rsid w:val="00172730"/>
    <w:rsid w:val="00172B5F"/>
    <w:rsid w:val="00174F5A"/>
    <w:rsid w:val="0017532B"/>
    <w:rsid w:val="001754D2"/>
    <w:rsid w:val="0017682D"/>
    <w:rsid w:val="00176A23"/>
    <w:rsid w:val="00176A6F"/>
    <w:rsid w:val="00176BF5"/>
    <w:rsid w:val="00176C31"/>
    <w:rsid w:val="00176D08"/>
    <w:rsid w:val="00177990"/>
    <w:rsid w:val="001802DF"/>
    <w:rsid w:val="001808CD"/>
    <w:rsid w:val="00180DE0"/>
    <w:rsid w:val="00181423"/>
    <w:rsid w:val="00181A71"/>
    <w:rsid w:val="0018279C"/>
    <w:rsid w:val="00182897"/>
    <w:rsid w:val="00183259"/>
    <w:rsid w:val="00183442"/>
    <w:rsid w:val="0018388F"/>
    <w:rsid w:val="001838EE"/>
    <w:rsid w:val="00183A2B"/>
    <w:rsid w:val="0018614E"/>
    <w:rsid w:val="00186242"/>
    <w:rsid w:val="00187156"/>
    <w:rsid w:val="0018766B"/>
    <w:rsid w:val="00187ADF"/>
    <w:rsid w:val="00190A3C"/>
    <w:rsid w:val="00190B72"/>
    <w:rsid w:val="00190E93"/>
    <w:rsid w:val="00190F55"/>
    <w:rsid w:val="001915CB"/>
    <w:rsid w:val="001917DD"/>
    <w:rsid w:val="00191F7D"/>
    <w:rsid w:val="00192491"/>
    <w:rsid w:val="00192CF3"/>
    <w:rsid w:val="001937BE"/>
    <w:rsid w:val="001946B3"/>
    <w:rsid w:val="00195C8A"/>
    <w:rsid w:val="00195CB3"/>
    <w:rsid w:val="001963C0"/>
    <w:rsid w:val="00196D3C"/>
    <w:rsid w:val="00196E8B"/>
    <w:rsid w:val="00197629"/>
    <w:rsid w:val="00197882"/>
    <w:rsid w:val="001A000A"/>
    <w:rsid w:val="001A0150"/>
    <w:rsid w:val="001A0641"/>
    <w:rsid w:val="001A08E0"/>
    <w:rsid w:val="001A0F33"/>
    <w:rsid w:val="001A19FF"/>
    <w:rsid w:val="001A21AC"/>
    <w:rsid w:val="001A2B1A"/>
    <w:rsid w:val="001A39E0"/>
    <w:rsid w:val="001A3E1B"/>
    <w:rsid w:val="001A3E9F"/>
    <w:rsid w:val="001A4ABC"/>
    <w:rsid w:val="001A4CCE"/>
    <w:rsid w:val="001A578E"/>
    <w:rsid w:val="001A6384"/>
    <w:rsid w:val="001A6AA2"/>
    <w:rsid w:val="001A6BB1"/>
    <w:rsid w:val="001B0698"/>
    <w:rsid w:val="001B086A"/>
    <w:rsid w:val="001B0964"/>
    <w:rsid w:val="001B0D99"/>
    <w:rsid w:val="001B0DCC"/>
    <w:rsid w:val="001B14C5"/>
    <w:rsid w:val="001B154D"/>
    <w:rsid w:val="001B170F"/>
    <w:rsid w:val="001B1871"/>
    <w:rsid w:val="001B1E93"/>
    <w:rsid w:val="001B1FE0"/>
    <w:rsid w:val="001B254C"/>
    <w:rsid w:val="001B33B1"/>
    <w:rsid w:val="001B341E"/>
    <w:rsid w:val="001B3888"/>
    <w:rsid w:val="001B3A4F"/>
    <w:rsid w:val="001B4297"/>
    <w:rsid w:val="001B4316"/>
    <w:rsid w:val="001B447C"/>
    <w:rsid w:val="001B4AB5"/>
    <w:rsid w:val="001B558F"/>
    <w:rsid w:val="001B5836"/>
    <w:rsid w:val="001B65FA"/>
    <w:rsid w:val="001B7126"/>
    <w:rsid w:val="001B7670"/>
    <w:rsid w:val="001B7F69"/>
    <w:rsid w:val="001C0899"/>
    <w:rsid w:val="001C0CB8"/>
    <w:rsid w:val="001C0CF9"/>
    <w:rsid w:val="001C1815"/>
    <w:rsid w:val="001C18F5"/>
    <w:rsid w:val="001C1EB7"/>
    <w:rsid w:val="001C23F5"/>
    <w:rsid w:val="001C26F5"/>
    <w:rsid w:val="001C2719"/>
    <w:rsid w:val="001C2946"/>
    <w:rsid w:val="001C2CD7"/>
    <w:rsid w:val="001C2F42"/>
    <w:rsid w:val="001C32FF"/>
    <w:rsid w:val="001C3756"/>
    <w:rsid w:val="001C4464"/>
    <w:rsid w:val="001C44ED"/>
    <w:rsid w:val="001C45BF"/>
    <w:rsid w:val="001C5161"/>
    <w:rsid w:val="001C5212"/>
    <w:rsid w:val="001C5AF0"/>
    <w:rsid w:val="001C5C12"/>
    <w:rsid w:val="001C6A2F"/>
    <w:rsid w:val="001C70DD"/>
    <w:rsid w:val="001C71B8"/>
    <w:rsid w:val="001C7ABA"/>
    <w:rsid w:val="001C7CC6"/>
    <w:rsid w:val="001D1970"/>
    <w:rsid w:val="001D198D"/>
    <w:rsid w:val="001D1F4E"/>
    <w:rsid w:val="001D2116"/>
    <w:rsid w:val="001D222F"/>
    <w:rsid w:val="001D22FA"/>
    <w:rsid w:val="001D26FB"/>
    <w:rsid w:val="001D2949"/>
    <w:rsid w:val="001D2C0A"/>
    <w:rsid w:val="001D2F17"/>
    <w:rsid w:val="001D3789"/>
    <w:rsid w:val="001D3BBC"/>
    <w:rsid w:val="001D5A4E"/>
    <w:rsid w:val="001D5EC8"/>
    <w:rsid w:val="001D6029"/>
    <w:rsid w:val="001D651A"/>
    <w:rsid w:val="001D7587"/>
    <w:rsid w:val="001D7F3E"/>
    <w:rsid w:val="001E09CD"/>
    <w:rsid w:val="001E0AAC"/>
    <w:rsid w:val="001E0B59"/>
    <w:rsid w:val="001E12B1"/>
    <w:rsid w:val="001E1486"/>
    <w:rsid w:val="001E24E1"/>
    <w:rsid w:val="001E423B"/>
    <w:rsid w:val="001E4259"/>
    <w:rsid w:val="001E4C8C"/>
    <w:rsid w:val="001E681B"/>
    <w:rsid w:val="001E6A6F"/>
    <w:rsid w:val="001E6BEA"/>
    <w:rsid w:val="001E725D"/>
    <w:rsid w:val="001E7CB5"/>
    <w:rsid w:val="001E7F20"/>
    <w:rsid w:val="001F124F"/>
    <w:rsid w:val="001F12B6"/>
    <w:rsid w:val="001F1478"/>
    <w:rsid w:val="001F1B6B"/>
    <w:rsid w:val="001F23C4"/>
    <w:rsid w:val="001F2743"/>
    <w:rsid w:val="001F283B"/>
    <w:rsid w:val="001F2847"/>
    <w:rsid w:val="001F28C2"/>
    <w:rsid w:val="001F2EB5"/>
    <w:rsid w:val="001F4222"/>
    <w:rsid w:val="001F43D2"/>
    <w:rsid w:val="001F4501"/>
    <w:rsid w:val="001F5C08"/>
    <w:rsid w:val="001F5F61"/>
    <w:rsid w:val="001F6095"/>
    <w:rsid w:val="001F7896"/>
    <w:rsid w:val="0020030D"/>
    <w:rsid w:val="0020070A"/>
    <w:rsid w:val="00202BEB"/>
    <w:rsid w:val="00202EF8"/>
    <w:rsid w:val="00202F5C"/>
    <w:rsid w:val="00203799"/>
    <w:rsid w:val="00203B00"/>
    <w:rsid w:val="00203DBB"/>
    <w:rsid w:val="00204185"/>
    <w:rsid w:val="002048D9"/>
    <w:rsid w:val="002049FE"/>
    <w:rsid w:val="0020532C"/>
    <w:rsid w:val="0020627C"/>
    <w:rsid w:val="00206C65"/>
    <w:rsid w:val="00206F69"/>
    <w:rsid w:val="002075B5"/>
    <w:rsid w:val="002076F0"/>
    <w:rsid w:val="00207DC8"/>
    <w:rsid w:val="00207FDB"/>
    <w:rsid w:val="002100B1"/>
    <w:rsid w:val="00211429"/>
    <w:rsid w:val="002116B9"/>
    <w:rsid w:val="00211787"/>
    <w:rsid w:val="002125AC"/>
    <w:rsid w:val="00212754"/>
    <w:rsid w:val="00213651"/>
    <w:rsid w:val="00214A58"/>
    <w:rsid w:val="00214CED"/>
    <w:rsid w:val="00216A05"/>
    <w:rsid w:val="00216A22"/>
    <w:rsid w:val="00217636"/>
    <w:rsid w:val="002202A1"/>
    <w:rsid w:val="00220613"/>
    <w:rsid w:val="002209D6"/>
    <w:rsid w:val="00222276"/>
    <w:rsid w:val="00223E18"/>
    <w:rsid w:val="0022423B"/>
    <w:rsid w:val="002242CA"/>
    <w:rsid w:val="002246AC"/>
    <w:rsid w:val="002246F6"/>
    <w:rsid w:val="0022615D"/>
    <w:rsid w:val="002276F6"/>
    <w:rsid w:val="00230669"/>
    <w:rsid w:val="002308D1"/>
    <w:rsid w:val="00230EA5"/>
    <w:rsid w:val="00230F88"/>
    <w:rsid w:val="002310ED"/>
    <w:rsid w:val="0023164D"/>
    <w:rsid w:val="00231DD8"/>
    <w:rsid w:val="00232274"/>
    <w:rsid w:val="00232E98"/>
    <w:rsid w:val="00233377"/>
    <w:rsid w:val="00233E2B"/>
    <w:rsid w:val="00233FB7"/>
    <w:rsid w:val="00234806"/>
    <w:rsid w:val="00234B63"/>
    <w:rsid w:val="00234E0F"/>
    <w:rsid w:val="00234FA4"/>
    <w:rsid w:val="002352A9"/>
    <w:rsid w:val="0023570E"/>
    <w:rsid w:val="002358D7"/>
    <w:rsid w:val="00236C80"/>
    <w:rsid w:val="00236DD3"/>
    <w:rsid w:val="002374F4"/>
    <w:rsid w:val="00240A7E"/>
    <w:rsid w:val="00240D9D"/>
    <w:rsid w:val="0024163A"/>
    <w:rsid w:val="00241743"/>
    <w:rsid w:val="00242091"/>
    <w:rsid w:val="002423C6"/>
    <w:rsid w:val="00242DEC"/>
    <w:rsid w:val="0024340C"/>
    <w:rsid w:val="00243CCC"/>
    <w:rsid w:val="00244760"/>
    <w:rsid w:val="0024519A"/>
    <w:rsid w:val="002453FB"/>
    <w:rsid w:val="0024665A"/>
    <w:rsid w:val="002468CC"/>
    <w:rsid w:val="00246B1E"/>
    <w:rsid w:val="002470E4"/>
    <w:rsid w:val="0025092E"/>
    <w:rsid w:val="00250CA4"/>
    <w:rsid w:val="00251166"/>
    <w:rsid w:val="002513C6"/>
    <w:rsid w:val="00251414"/>
    <w:rsid w:val="00251909"/>
    <w:rsid w:val="00251B9A"/>
    <w:rsid w:val="00252C0D"/>
    <w:rsid w:val="00252C1E"/>
    <w:rsid w:val="00252CB6"/>
    <w:rsid w:val="0025302D"/>
    <w:rsid w:val="00253332"/>
    <w:rsid w:val="00253B3B"/>
    <w:rsid w:val="00253FC7"/>
    <w:rsid w:val="0025507A"/>
    <w:rsid w:val="0025620C"/>
    <w:rsid w:val="00256650"/>
    <w:rsid w:val="00256875"/>
    <w:rsid w:val="00256D0E"/>
    <w:rsid w:val="00256FAC"/>
    <w:rsid w:val="0026044A"/>
    <w:rsid w:val="0026261F"/>
    <w:rsid w:val="00262A9E"/>
    <w:rsid w:val="002635C0"/>
    <w:rsid w:val="00263B55"/>
    <w:rsid w:val="002647C8"/>
    <w:rsid w:val="0026522F"/>
    <w:rsid w:val="00265668"/>
    <w:rsid w:val="0026617D"/>
    <w:rsid w:val="002666D3"/>
    <w:rsid w:val="00266B6F"/>
    <w:rsid w:val="00266DB6"/>
    <w:rsid w:val="00267643"/>
    <w:rsid w:val="002709C8"/>
    <w:rsid w:val="00271630"/>
    <w:rsid w:val="002720F5"/>
    <w:rsid w:val="002723F1"/>
    <w:rsid w:val="00272F46"/>
    <w:rsid w:val="00274106"/>
    <w:rsid w:val="00274EF3"/>
    <w:rsid w:val="0027604F"/>
    <w:rsid w:val="00276D3B"/>
    <w:rsid w:val="00277A2C"/>
    <w:rsid w:val="0028005E"/>
    <w:rsid w:val="0028049C"/>
    <w:rsid w:val="002814C7"/>
    <w:rsid w:val="00281C9E"/>
    <w:rsid w:val="002824EE"/>
    <w:rsid w:val="00282793"/>
    <w:rsid w:val="00282800"/>
    <w:rsid w:val="00282CDF"/>
    <w:rsid w:val="00283425"/>
    <w:rsid w:val="0028398F"/>
    <w:rsid w:val="00283C35"/>
    <w:rsid w:val="002841E7"/>
    <w:rsid w:val="0028455F"/>
    <w:rsid w:val="0028486E"/>
    <w:rsid w:val="002848A4"/>
    <w:rsid w:val="00284977"/>
    <w:rsid w:val="00284FF1"/>
    <w:rsid w:val="002854DC"/>
    <w:rsid w:val="002855E7"/>
    <w:rsid w:val="002876A7"/>
    <w:rsid w:val="002876FB"/>
    <w:rsid w:val="00290A6E"/>
    <w:rsid w:val="00290B85"/>
    <w:rsid w:val="00290BDA"/>
    <w:rsid w:val="00290F8F"/>
    <w:rsid w:val="00290FD8"/>
    <w:rsid w:val="002921E6"/>
    <w:rsid w:val="00292CDC"/>
    <w:rsid w:val="00293C60"/>
    <w:rsid w:val="002940EE"/>
    <w:rsid w:val="002941D9"/>
    <w:rsid w:val="002943A1"/>
    <w:rsid w:val="00294C15"/>
    <w:rsid w:val="00294F52"/>
    <w:rsid w:val="00295113"/>
    <w:rsid w:val="00295534"/>
    <w:rsid w:val="00295669"/>
    <w:rsid w:val="002957C1"/>
    <w:rsid w:val="002972B4"/>
    <w:rsid w:val="002A034F"/>
    <w:rsid w:val="002A06FB"/>
    <w:rsid w:val="002A1BA0"/>
    <w:rsid w:val="002A1C07"/>
    <w:rsid w:val="002A1E8C"/>
    <w:rsid w:val="002A3756"/>
    <w:rsid w:val="002A3DD2"/>
    <w:rsid w:val="002A5123"/>
    <w:rsid w:val="002A5D35"/>
    <w:rsid w:val="002A5EB6"/>
    <w:rsid w:val="002A5F53"/>
    <w:rsid w:val="002A6C7A"/>
    <w:rsid w:val="002A6DB6"/>
    <w:rsid w:val="002A6DEF"/>
    <w:rsid w:val="002A70F2"/>
    <w:rsid w:val="002A759E"/>
    <w:rsid w:val="002A7806"/>
    <w:rsid w:val="002B00F5"/>
    <w:rsid w:val="002B0369"/>
    <w:rsid w:val="002B03B3"/>
    <w:rsid w:val="002B12C3"/>
    <w:rsid w:val="002B13A2"/>
    <w:rsid w:val="002B1A9A"/>
    <w:rsid w:val="002B1E59"/>
    <w:rsid w:val="002B2863"/>
    <w:rsid w:val="002B3FC2"/>
    <w:rsid w:val="002B4773"/>
    <w:rsid w:val="002B4B2A"/>
    <w:rsid w:val="002B53ED"/>
    <w:rsid w:val="002B55C0"/>
    <w:rsid w:val="002B6B33"/>
    <w:rsid w:val="002B6F30"/>
    <w:rsid w:val="002B7722"/>
    <w:rsid w:val="002C0BF8"/>
    <w:rsid w:val="002C1066"/>
    <w:rsid w:val="002C140A"/>
    <w:rsid w:val="002C1E1C"/>
    <w:rsid w:val="002C242D"/>
    <w:rsid w:val="002C2627"/>
    <w:rsid w:val="002C2FFB"/>
    <w:rsid w:val="002C3541"/>
    <w:rsid w:val="002C4183"/>
    <w:rsid w:val="002C4B0C"/>
    <w:rsid w:val="002C4C9D"/>
    <w:rsid w:val="002C514E"/>
    <w:rsid w:val="002C5FAA"/>
    <w:rsid w:val="002C658F"/>
    <w:rsid w:val="002C74F2"/>
    <w:rsid w:val="002C7B14"/>
    <w:rsid w:val="002C7BB3"/>
    <w:rsid w:val="002C7F7E"/>
    <w:rsid w:val="002D03B5"/>
    <w:rsid w:val="002D0808"/>
    <w:rsid w:val="002D0887"/>
    <w:rsid w:val="002D091B"/>
    <w:rsid w:val="002D0A49"/>
    <w:rsid w:val="002D0F1D"/>
    <w:rsid w:val="002D12A0"/>
    <w:rsid w:val="002D179B"/>
    <w:rsid w:val="002D21CC"/>
    <w:rsid w:val="002D21CF"/>
    <w:rsid w:val="002D341E"/>
    <w:rsid w:val="002D4A40"/>
    <w:rsid w:val="002D4C9D"/>
    <w:rsid w:val="002D51F0"/>
    <w:rsid w:val="002D69A9"/>
    <w:rsid w:val="002D6FC6"/>
    <w:rsid w:val="002D708F"/>
    <w:rsid w:val="002D76FA"/>
    <w:rsid w:val="002E003A"/>
    <w:rsid w:val="002E0225"/>
    <w:rsid w:val="002E0558"/>
    <w:rsid w:val="002E0AF0"/>
    <w:rsid w:val="002E0FE3"/>
    <w:rsid w:val="002E1667"/>
    <w:rsid w:val="002E1E81"/>
    <w:rsid w:val="002E26BC"/>
    <w:rsid w:val="002E2BCD"/>
    <w:rsid w:val="002E2E11"/>
    <w:rsid w:val="002E3E86"/>
    <w:rsid w:val="002E498A"/>
    <w:rsid w:val="002E5AE0"/>
    <w:rsid w:val="002E5B48"/>
    <w:rsid w:val="002E6766"/>
    <w:rsid w:val="002E6B10"/>
    <w:rsid w:val="002E765A"/>
    <w:rsid w:val="002E771A"/>
    <w:rsid w:val="002E78E8"/>
    <w:rsid w:val="002F0318"/>
    <w:rsid w:val="002F0715"/>
    <w:rsid w:val="002F09B3"/>
    <w:rsid w:val="002F159B"/>
    <w:rsid w:val="002F179F"/>
    <w:rsid w:val="002F1C97"/>
    <w:rsid w:val="002F22C5"/>
    <w:rsid w:val="002F2463"/>
    <w:rsid w:val="002F24D2"/>
    <w:rsid w:val="002F282B"/>
    <w:rsid w:val="002F294C"/>
    <w:rsid w:val="002F2AA6"/>
    <w:rsid w:val="002F2E06"/>
    <w:rsid w:val="002F2F13"/>
    <w:rsid w:val="002F3451"/>
    <w:rsid w:val="002F3A9D"/>
    <w:rsid w:val="002F3D24"/>
    <w:rsid w:val="002F4352"/>
    <w:rsid w:val="002F4E97"/>
    <w:rsid w:val="002F5271"/>
    <w:rsid w:val="002F5EF8"/>
    <w:rsid w:val="002F6679"/>
    <w:rsid w:val="002F6B7D"/>
    <w:rsid w:val="002F74A5"/>
    <w:rsid w:val="002F7954"/>
    <w:rsid w:val="00300968"/>
    <w:rsid w:val="00300A71"/>
    <w:rsid w:val="00300D27"/>
    <w:rsid w:val="00301465"/>
    <w:rsid w:val="00301A38"/>
    <w:rsid w:val="0030241F"/>
    <w:rsid w:val="003025B5"/>
    <w:rsid w:val="00302696"/>
    <w:rsid w:val="00302B2F"/>
    <w:rsid w:val="00302C09"/>
    <w:rsid w:val="00303115"/>
    <w:rsid w:val="003032A6"/>
    <w:rsid w:val="00303301"/>
    <w:rsid w:val="00303519"/>
    <w:rsid w:val="00303CD8"/>
    <w:rsid w:val="003041D8"/>
    <w:rsid w:val="003045A3"/>
    <w:rsid w:val="00304617"/>
    <w:rsid w:val="00304622"/>
    <w:rsid w:val="003048BB"/>
    <w:rsid w:val="00304A5A"/>
    <w:rsid w:val="00305221"/>
    <w:rsid w:val="0030522C"/>
    <w:rsid w:val="00306F92"/>
    <w:rsid w:val="0030711C"/>
    <w:rsid w:val="00307133"/>
    <w:rsid w:val="0030719A"/>
    <w:rsid w:val="0030721E"/>
    <w:rsid w:val="0030742E"/>
    <w:rsid w:val="003075FE"/>
    <w:rsid w:val="00310081"/>
    <w:rsid w:val="0031135A"/>
    <w:rsid w:val="0031141D"/>
    <w:rsid w:val="003115C3"/>
    <w:rsid w:val="0031188B"/>
    <w:rsid w:val="0031231B"/>
    <w:rsid w:val="00312F41"/>
    <w:rsid w:val="003133CC"/>
    <w:rsid w:val="003139F7"/>
    <w:rsid w:val="0031418D"/>
    <w:rsid w:val="003142B0"/>
    <w:rsid w:val="00314C47"/>
    <w:rsid w:val="00314EB5"/>
    <w:rsid w:val="00314EC1"/>
    <w:rsid w:val="00315535"/>
    <w:rsid w:val="00315EF0"/>
    <w:rsid w:val="003162AB"/>
    <w:rsid w:val="00316463"/>
    <w:rsid w:val="00316D43"/>
    <w:rsid w:val="00317230"/>
    <w:rsid w:val="00317421"/>
    <w:rsid w:val="00320113"/>
    <w:rsid w:val="00320358"/>
    <w:rsid w:val="0032036A"/>
    <w:rsid w:val="00320EAC"/>
    <w:rsid w:val="00320FD4"/>
    <w:rsid w:val="00322071"/>
    <w:rsid w:val="003224BD"/>
    <w:rsid w:val="00322BFF"/>
    <w:rsid w:val="00322F19"/>
    <w:rsid w:val="003235E2"/>
    <w:rsid w:val="00323612"/>
    <w:rsid w:val="003237BB"/>
    <w:rsid w:val="0032429A"/>
    <w:rsid w:val="00324304"/>
    <w:rsid w:val="003245DB"/>
    <w:rsid w:val="003259CC"/>
    <w:rsid w:val="0032628E"/>
    <w:rsid w:val="003262DB"/>
    <w:rsid w:val="003274F8"/>
    <w:rsid w:val="0032798D"/>
    <w:rsid w:val="0033054D"/>
    <w:rsid w:val="0033200E"/>
    <w:rsid w:val="00332E2C"/>
    <w:rsid w:val="003334EB"/>
    <w:rsid w:val="00333A6E"/>
    <w:rsid w:val="00334F67"/>
    <w:rsid w:val="0033500C"/>
    <w:rsid w:val="00335676"/>
    <w:rsid w:val="00335FB9"/>
    <w:rsid w:val="00336122"/>
    <w:rsid w:val="00336EA7"/>
    <w:rsid w:val="00337833"/>
    <w:rsid w:val="003406CE"/>
    <w:rsid w:val="00340B0A"/>
    <w:rsid w:val="00340B46"/>
    <w:rsid w:val="00340C3D"/>
    <w:rsid w:val="003414D1"/>
    <w:rsid w:val="003418A9"/>
    <w:rsid w:val="00341C97"/>
    <w:rsid w:val="00342217"/>
    <w:rsid w:val="00342337"/>
    <w:rsid w:val="00343940"/>
    <w:rsid w:val="00343DCC"/>
    <w:rsid w:val="00344602"/>
    <w:rsid w:val="00344755"/>
    <w:rsid w:val="0034566B"/>
    <w:rsid w:val="0034589A"/>
    <w:rsid w:val="003459FE"/>
    <w:rsid w:val="00345C7C"/>
    <w:rsid w:val="00346142"/>
    <w:rsid w:val="00346706"/>
    <w:rsid w:val="00346F6D"/>
    <w:rsid w:val="0034703C"/>
    <w:rsid w:val="003472AA"/>
    <w:rsid w:val="003478FC"/>
    <w:rsid w:val="00350402"/>
    <w:rsid w:val="003508FB"/>
    <w:rsid w:val="00350E21"/>
    <w:rsid w:val="00350EE1"/>
    <w:rsid w:val="00351029"/>
    <w:rsid w:val="003512A0"/>
    <w:rsid w:val="00351637"/>
    <w:rsid w:val="00351D97"/>
    <w:rsid w:val="00352AE4"/>
    <w:rsid w:val="00352EF4"/>
    <w:rsid w:val="003530B0"/>
    <w:rsid w:val="0035360D"/>
    <w:rsid w:val="00353CD7"/>
    <w:rsid w:val="00353DEC"/>
    <w:rsid w:val="00354281"/>
    <w:rsid w:val="003542FA"/>
    <w:rsid w:val="00354369"/>
    <w:rsid w:val="00355970"/>
    <w:rsid w:val="00355FF8"/>
    <w:rsid w:val="00356F99"/>
    <w:rsid w:val="003573BA"/>
    <w:rsid w:val="003573C1"/>
    <w:rsid w:val="003577B7"/>
    <w:rsid w:val="00360105"/>
    <w:rsid w:val="00360561"/>
    <w:rsid w:val="00360908"/>
    <w:rsid w:val="00360983"/>
    <w:rsid w:val="00360C75"/>
    <w:rsid w:val="00362C12"/>
    <w:rsid w:val="00362F8D"/>
    <w:rsid w:val="003630FF"/>
    <w:rsid w:val="00363122"/>
    <w:rsid w:val="00363410"/>
    <w:rsid w:val="00363680"/>
    <w:rsid w:val="003639D1"/>
    <w:rsid w:val="00364F3D"/>
    <w:rsid w:val="003651D6"/>
    <w:rsid w:val="00365441"/>
    <w:rsid w:val="00365B4F"/>
    <w:rsid w:val="00365DF5"/>
    <w:rsid w:val="00366869"/>
    <w:rsid w:val="00366B55"/>
    <w:rsid w:val="003670EB"/>
    <w:rsid w:val="003673F4"/>
    <w:rsid w:val="00367A5B"/>
    <w:rsid w:val="00367D2B"/>
    <w:rsid w:val="00367F17"/>
    <w:rsid w:val="00371220"/>
    <w:rsid w:val="003712A9"/>
    <w:rsid w:val="00371EFA"/>
    <w:rsid w:val="0037256B"/>
    <w:rsid w:val="0037362E"/>
    <w:rsid w:val="00373DAC"/>
    <w:rsid w:val="003745B2"/>
    <w:rsid w:val="003746FD"/>
    <w:rsid w:val="00374EF3"/>
    <w:rsid w:val="00374F17"/>
    <w:rsid w:val="00375069"/>
    <w:rsid w:val="0037546B"/>
    <w:rsid w:val="00375670"/>
    <w:rsid w:val="0037585B"/>
    <w:rsid w:val="003759F2"/>
    <w:rsid w:val="00375BF7"/>
    <w:rsid w:val="00376F5E"/>
    <w:rsid w:val="00377021"/>
    <w:rsid w:val="00377F2E"/>
    <w:rsid w:val="0038017F"/>
    <w:rsid w:val="0038071E"/>
    <w:rsid w:val="0038130B"/>
    <w:rsid w:val="0038164A"/>
    <w:rsid w:val="003825AC"/>
    <w:rsid w:val="00382722"/>
    <w:rsid w:val="0038289A"/>
    <w:rsid w:val="00382C04"/>
    <w:rsid w:val="00382DB5"/>
    <w:rsid w:val="0038347F"/>
    <w:rsid w:val="00383D86"/>
    <w:rsid w:val="00384606"/>
    <w:rsid w:val="003850B2"/>
    <w:rsid w:val="0038519C"/>
    <w:rsid w:val="00385622"/>
    <w:rsid w:val="0038596F"/>
    <w:rsid w:val="00386033"/>
    <w:rsid w:val="00386AE3"/>
    <w:rsid w:val="0038790A"/>
    <w:rsid w:val="0038792C"/>
    <w:rsid w:val="003902B6"/>
    <w:rsid w:val="003909D4"/>
    <w:rsid w:val="00391AA1"/>
    <w:rsid w:val="00391E35"/>
    <w:rsid w:val="00392947"/>
    <w:rsid w:val="00393969"/>
    <w:rsid w:val="00393B00"/>
    <w:rsid w:val="00393B18"/>
    <w:rsid w:val="00393B6C"/>
    <w:rsid w:val="00394864"/>
    <w:rsid w:val="00395FDD"/>
    <w:rsid w:val="0039645F"/>
    <w:rsid w:val="00396EAB"/>
    <w:rsid w:val="003A028B"/>
    <w:rsid w:val="003A07E6"/>
    <w:rsid w:val="003A108D"/>
    <w:rsid w:val="003A168E"/>
    <w:rsid w:val="003A17AA"/>
    <w:rsid w:val="003A2686"/>
    <w:rsid w:val="003A2894"/>
    <w:rsid w:val="003A365B"/>
    <w:rsid w:val="003A387F"/>
    <w:rsid w:val="003A40FE"/>
    <w:rsid w:val="003A49C1"/>
    <w:rsid w:val="003A4BA1"/>
    <w:rsid w:val="003A5030"/>
    <w:rsid w:val="003A51A2"/>
    <w:rsid w:val="003A5274"/>
    <w:rsid w:val="003A52C2"/>
    <w:rsid w:val="003A569D"/>
    <w:rsid w:val="003A57D1"/>
    <w:rsid w:val="003A5CFF"/>
    <w:rsid w:val="003A5D7F"/>
    <w:rsid w:val="003A5F2B"/>
    <w:rsid w:val="003A6564"/>
    <w:rsid w:val="003A6ED2"/>
    <w:rsid w:val="003A6ED4"/>
    <w:rsid w:val="003A6EED"/>
    <w:rsid w:val="003A7330"/>
    <w:rsid w:val="003A76F0"/>
    <w:rsid w:val="003A7EEC"/>
    <w:rsid w:val="003B05A6"/>
    <w:rsid w:val="003B0A9F"/>
    <w:rsid w:val="003B107A"/>
    <w:rsid w:val="003B128E"/>
    <w:rsid w:val="003B185F"/>
    <w:rsid w:val="003B1E1C"/>
    <w:rsid w:val="003B283F"/>
    <w:rsid w:val="003B2C47"/>
    <w:rsid w:val="003B2C6C"/>
    <w:rsid w:val="003B309C"/>
    <w:rsid w:val="003B337F"/>
    <w:rsid w:val="003B3401"/>
    <w:rsid w:val="003B3894"/>
    <w:rsid w:val="003B3A8E"/>
    <w:rsid w:val="003B4E84"/>
    <w:rsid w:val="003B541D"/>
    <w:rsid w:val="003B5BA2"/>
    <w:rsid w:val="003B608B"/>
    <w:rsid w:val="003B67D0"/>
    <w:rsid w:val="003B6F15"/>
    <w:rsid w:val="003B7237"/>
    <w:rsid w:val="003C059A"/>
    <w:rsid w:val="003C0BF3"/>
    <w:rsid w:val="003C0F14"/>
    <w:rsid w:val="003C1155"/>
    <w:rsid w:val="003C126E"/>
    <w:rsid w:val="003C1441"/>
    <w:rsid w:val="003C1CDB"/>
    <w:rsid w:val="003C2781"/>
    <w:rsid w:val="003C2B0D"/>
    <w:rsid w:val="003C2D8B"/>
    <w:rsid w:val="003C3671"/>
    <w:rsid w:val="003C3C4E"/>
    <w:rsid w:val="003C3E67"/>
    <w:rsid w:val="003C4286"/>
    <w:rsid w:val="003C4E84"/>
    <w:rsid w:val="003C56FD"/>
    <w:rsid w:val="003C575D"/>
    <w:rsid w:val="003C5B81"/>
    <w:rsid w:val="003C5F71"/>
    <w:rsid w:val="003C623E"/>
    <w:rsid w:val="003C6C1C"/>
    <w:rsid w:val="003C6F5A"/>
    <w:rsid w:val="003C7188"/>
    <w:rsid w:val="003C741C"/>
    <w:rsid w:val="003C7600"/>
    <w:rsid w:val="003C79F8"/>
    <w:rsid w:val="003D06EA"/>
    <w:rsid w:val="003D1911"/>
    <w:rsid w:val="003D1C0E"/>
    <w:rsid w:val="003D1DBD"/>
    <w:rsid w:val="003D1FBE"/>
    <w:rsid w:val="003D2442"/>
    <w:rsid w:val="003D2979"/>
    <w:rsid w:val="003D3083"/>
    <w:rsid w:val="003D3679"/>
    <w:rsid w:val="003D3AD8"/>
    <w:rsid w:val="003D3E0F"/>
    <w:rsid w:val="003D3EF4"/>
    <w:rsid w:val="003D464C"/>
    <w:rsid w:val="003D4D4E"/>
    <w:rsid w:val="003D4DA4"/>
    <w:rsid w:val="003D515B"/>
    <w:rsid w:val="003D5781"/>
    <w:rsid w:val="003D59E6"/>
    <w:rsid w:val="003D5B79"/>
    <w:rsid w:val="003D5D0D"/>
    <w:rsid w:val="003D6D8A"/>
    <w:rsid w:val="003D79A8"/>
    <w:rsid w:val="003D7AC7"/>
    <w:rsid w:val="003D7B32"/>
    <w:rsid w:val="003D7EA5"/>
    <w:rsid w:val="003E04AF"/>
    <w:rsid w:val="003E074C"/>
    <w:rsid w:val="003E0DB0"/>
    <w:rsid w:val="003E1F75"/>
    <w:rsid w:val="003E29F2"/>
    <w:rsid w:val="003E3B0C"/>
    <w:rsid w:val="003E4961"/>
    <w:rsid w:val="003E573C"/>
    <w:rsid w:val="003E5C2C"/>
    <w:rsid w:val="003E757C"/>
    <w:rsid w:val="003E768A"/>
    <w:rsid w:val="003E799D"/>
    <w:rsid w:val="003E7C05"/>
    <w:rsid w:val="003E7EFB"/>
    <w:rsid w:val="003F026E"/>
    <w:rsid w:val="003F0A32"/>
    <w:rsid w:val="003F0D0F"/>
    <w:rsid w:val="003F1A5D"/>
    <w:rsid w:val="003F1E63"/>
    <w:rsid w:val="003F2347"/>
    <w:rsid w:val="003F2A96"/>
    <w:rsid w:val="003F2B44"/>
    <w:rsid w:val="003F317E"/>
    <w:rsid w:val="003F340D"/>
    <w:rsid w:val="003F3946"/>
    <w:rsid w:val="003F3979"/>
    <w:rsid w:val="003F4485"/>
    <w:rsid w:val="003F4863"/>
    <w:rsid w:val="003F52C0"/>
    <w:rsid w:val="003F5482"/>
    <w:rsid w:val="003F5CD0"/>
    <w:rsid w:val="003F5DEA"/>
    <w:rsid w:val="003F5E55"/>
    <w:rsid w:val="003F6788"/>
    <w:rsid w:val="003F6B0E"/>
    <w:rsid w:val="003F7434"/>
    <w:rsid w:val="003F75BD"/>
    <w:rsid w:val="003F7736"/>
    <w:rsid w:val="00400571"/>
    <w:rsid w:val="004009F2"/>
    <w:rsid w:val="00400E12"/>
    <w:rsid w:val="00401D85"/>
    <w:rsid w:val="00402542"/>
    <w:rsid w:val="00402920"/>
    <w:rsid w:val="0040368F"/>
    <w:rsid w:val="00403F63"/>
    <w:rsid w:val="0040414C"/>
    <w:rsid w:val="00404849"/>
    <w:rsid w:val="0040492C"/>
    <w:rsid w:val="004052DD"/>
    <w:rsid w:val="00405C67"/>
    <w:rsid w:val="00405C7D"/>
    <w:rsid w:val="004061E4"/>
    <w:rsid w:val="0040636C"/>
    <w:rsid w:val="0040652E"/>
    <w:rsid w:val="00406F10"/>
    <w:rsid w:val="00407AB2"/>
    <w:rsid w:val="00410D17"/>
    <w:rsid w:val="0041135E"/>
    <w:rsid w:val="0041225F"/>
    <w:rsid w:val="00412AD3"/>
    <w:rsid w:val="00412C13"/>
    <w:rsid w:val="00412C42"/>
    <w:rsid w:val="00412FC5"/>
    <w:rsid w:val="004139FE"/>
    <w:rsid w:val="00413DCA"/>
    <w:rsid w:val="00415328"/>
    <w:rsid w:val="004153BB"/>
    <w:rsid w:val="00415C52"/>
    <w:rsid w:val="00416150"/>
    <w:rsid w:val="0041642C"/>
    <w:rsid w:val="00416634"/>
    <w:rsid w:val="00417093"/>
    <w:rsid w:val="00417543"/>
    <w:rsid w:val="004177BF"/>
    <w:rsid w:val="00417963"/>
    <w:rsid w:val="00417E00"/>
    <w:rsid w:val="00420127"/>
    <w:rsid w:val="0042055D"/>
    <w:rsid w:val="00420833"/>
    <w:rsid w:val="00420ACB"/>
    <w:rsid w:val="004216B8"/>
    <w:rsid w:val="00421B22"/>
    <w:rsid w:val="00421FFB"/>
    <w:rsid w:val="00422373"/>
    <w:rsid w:val="00422594"/>
    <w:rsid w:val="00422627"/>
    <w:rsid w:val="00423222"/>
    <w:rsid w:val="00423801"/>
    <w:rsid w:val="004238C6"/>
    <w:rsid w:val="00423F51"/>
    <w:rsid w:val="004240B0"/>
    <w:rsid w:val="004249EF"/>
    <w:rsid w:val="004254B9"/>
    <w:rsid w:val="00425F0F"/>
    <w:rsid w:val="00425FB5"/>
    <w:rsid w:val="0042652D"/>
    <w:rsid w:val="004265E0"/>
    <w:rsid w:val="00426EFE"/>
    <w:rsid w:val="004273A1"/>
    <w:rsid w:val="004274A2"/>
    <w:rsid w:val="0043028B"/>
    <w:rsid w:val="00430A7B"/>
    <w:rsid w:val="00430B0F"/>
    <w:rsid w:val="00431DE8"/>
    <w:rsid w:val="0043219E"/>
    <w:rsid w:val="00432DAF"/>
    <w:rsid w:val="00433879"/>
    <w:rsid w:val="00433CDE"/>
    <w:rsid w:val="00433CE4"/>
    <w:rsid w:val="00433E79"/>
    <w:rsid w:val="0043426F"/>
    <w:rsid w:val="00434522"/>
    <w:rsid w:val="0043465E"/>
    <w:rsid w:val="00435EB9"/>
    <w:rsid w:val="0043614E"/>
    <w:rsid w:val="0043640D"/>
    <w:rsid w:val="004364D7"/>
    <w:rsid w:val="00436AFB"/>
    <w:rsid w:val="0043719D"/>
    <w:rsid w:val="004375DE"/>
    <w:rsid w:val="004377C1"/>
    <w:rsid w:val="00437893"/>
    <w:rsid w:val="00437B91"/>
    <w:rsid w:val="0044082B"/>
    <w:rsid w:val="004413F6"/>
    <w:rsid w:val="004417C3"/>
    <w:rsid w:val="00441939"/>
    <w:rsid w:val="00442D41"/>
    <w:rsid w:val="004432F7"/>
    <w:rsid w:val="004444B0"/>
    <w:rsid w:val="00444E1A"/>
    <w:rsid w:val="00444E22"/>
    <w:rsid w:val="004450E1"/>
    <w:rsid w:val="00445729"/>
    <w:rsid w:val="00445BA8"/>
    <w:rsid w:val="00445D43"/>
    <w:rsid w:val="004462A0"/>
    <w:rsid w:val="00446321"/>
    <w:rsid w:val="00446583"/>
    <w:rsid w:val="004467BA"/>
    <w:rsid w:val="004468DF"/>
    <w:rsid w:val="00446B84"/>
    <w:rsid w:val="00446C73"/>
    <w:rsid w:val="00447014"/>
    <w:rsid w:val="00450169"/>
    <w:rsid w:val="00450215"/>
    <w:rsid w:val="00450372"/>
    <w:rsid w:val="00451040"/>
    <w:rsid w:val="00451704"/>
    <w:rsid w:val="00452233"/>
    <w:rsid w:val="00452AC1"/>
    <w:rsid w:val="00452BA5"/>
    <w:rsid w:val="00454290"/>
    <w:rsid w:val="00454375"/>
    <w:rsid w:val="004549AF"/>
    <w:rsid w:val="004549DA"/>
    <w:rsid w:val="00454B39"/>
    <w:rsid w:val="00455F4F"/>
    <w:rsid w:val="00456349"/>
    <w:rsid w:val="00456DF4"/>
    <w:rsid w:val="00456FEB"/>
    <w:rsid w:val="004571B5"/>
    <w:rsid w:val="0045725C"/>
    <w:rsid w:val="00457933"/>
    <w:rsid w:val="00460597"/>
    <w:rsid w:val="00460AA5"/>
    <w:rsid w:val="00461548"/>
    <w:rsid w:val="004615D1"/>
    <w:rsid w:val="0046180F"/>
    <w:rsid w:val="00461916"/>
    <w:rsid w:val="00461F5D"/>
    <w:rsid w:val="004620E1"/>
    <w:rsid w:val="00462ADA"/>
    <w:rsid w:val="004634BB"/>
    <w:rsid w:val="0046354F"/>
    <w:rsid w:val="004636F2"/>
    <w:rsid w:val="00463F34"/>
    <w:rsid w:val="0046408D"/>
    <w:rsid w:val="00464707"/>
    <w:rsid w:val="0046472A"/>
    <w:rsid w:val="00464784"/>
    <w:rsid w:val="00466A2B"/>
    <w:rsid w:val="004674DB"/>
    <w:rsid w:val="004706C4"/>
    <w:rsid w:val="00470B65"/>
    <w:rsid w:val="00471759"/>
    <w:rsid w:val="00471DB9"/>
    <w:rsid w:val="0047243F"/>
    <w:rsid w:val="004728F6"/>
    <w:rsid w:val="00472A71"/>
    <w:rsid w:val="00472ADE"/>
    <w:rsid w:val="00472B13"/>
    <w:rsid w:val="004736F8"/>
    <w:rsid w:val="004737F6"/>
    <w:rsid w:val="00473828"/>
    <w:rsid w:val="00473FE0"/>
    <w:rsid w:val="0047433C"/>
    <w:rsid w:val="00474EB3"/>
    <w:rsid w:val="004755B7"/>
    <w:rsid w:val="00475C54"/>
    <w:rsid w:val="00476738"/>
    <w:rsid w:val="00476D86"/>
    <w:rsid w:val="00480081"/>
    <w:rsid w:val="00480666"/>
    <w:rsid w:val="00480A50"/>
    <w:rsid w:val="00480D56"/>
    <w:rsid w:val="0048149E"/>
    <w:rsid w:val="004815E0"/>
    <w:rsid w:val="00481848"/>
    <w:rsid w:val="00481BC6"/>
    <w:rsid w:val="004832AA"/>
    <w:rsid w:val="00483DCD"/>
    <w:rsid w:val="004847A6"/>
    <w:rsid w:val="00484CDE"/>
    <w:rsid w:val="00485319"/>
    <w:rsid w:val="00485794"/>
    <w:rsid w:val="00485F18"/>
    <w:rsid w:val="004861C2"/>
    <w:rsid w:val="00486225"/>
    <w:rsid w:val="00486331"/>
    <w:rsid w:val="00486996"/>
    <w:rsid w:val="0048722F"/>
    <w:rsid w:val="004872B1"/>
    <w:rsid w:val="00487582"/>
    <w:rsid w:val="004879E6"/>
    <w:rsid w:val="00487B56"/>
    <w:rsid w:val="00487B6E"/>
    <w:rsid w:val="00487D0C"/>
    <w:rsid w:val="004902D8"/>
    <w:rsid w:val="00490B87"/>
    <w:rsid w:val="00490C9D"/>
    <w:rsid w:val="00490D63"/>
    <w:rsid w:val="0049170A"/>
    <w:rsid w:val="0049193B"/>
    <w:rsid w:val="00492F76"/>
    <w:rsid w:val="00493A0A"/>
    <w:rsid w:val="0049408D"/>
    <w:rsid w:val="00494825"/>
    <w:rsid w:val="00494846"/>
    <w:rsid w:val="0049488E"/>
    <w:rsid w:val="00495114"/>
    <w:rsid w:val="004952D9"/>
    <w:rsid w:val="0049559E"/>
    <w:rsid w:val="004955B1"/>
    <w:rsid w:val="00495F1F"/>
    <w:rsid w:val="0049659B"/>
    <w:rsid w:val="0049673D"/>
    <w:rsid w:val="0049674E"/>
    <w:rsid w:val="00496ED6"/>
    <w:rsid w:val="00497573"/>
    <w:rsid w:val="004976C1"/>
    <w:rsid w:val="00497889"/>
    <w:rsid w:val="00497E3C"/>
    <w:rsid w:val="00497E72"/>
    <w:rsid w:val="00497F27"/>
    <w:rsid w:val="004A059D"/>
    <w:rsid w:val="004A0F40"/>
    <w:rsid w:val="004A11EB"/>
    <w:rsid w:val="004A181E"/>
    <w:rsid w:val="004A333F"/>
    <w:rsid w:val="004A34E1"/>
    <w:rsid w:val="004A3E45"/>
    <w:rsid w:val="004A45CC"/>
    <w:rsid w:val="004A4DCD"/>
    <w:rsid w:val="004A584C"/>
    <w:rsid w:val="004A651C"/>
    <w:rsid w:val="004A6AC0"/>
    <w:rsid w:val="004A73FE"/>
    <w:rsid w:val="004A7596"/>
    <w:rsid w:val="004A7882"/>
    <w:rsid w:val="004A7B6A"/>
    <w:rsid w:val="004A7E4C"/>
    <w:rsid w:val="004A7F85"/>
    <w:rsid w:val="004B0897"/>
    <w:rsid w:val="004B13E1"/>
    <w:rsid w:val="004B1846"/>
    <w:rsid w:val="004B1D01"/>
    <w:rsid w:val="004B2023"/>
    <w:rsid w:val="004B2B33"/>
    <w:rsid w:val="004B349B"/>
    <w:rsid w:val="004B36CA"/>
    <w:rsid w:val="004B3D0D"/>
    <w:rsid w:val="004B4107"/>
    <w:rsid w:val="004B473D"/>
    <w:rsid w:val="004B4AB2"/>
    <w:rsid w:val="004B4C6C"/>
    <w:rsid w:val="004B4EC0"/>
    <w:rsid w:val="004B5244"/>
    <w:rsid w:val="004B5728"/>
    <w:rsid w:val="004B6296"/>
    <w:rsid w:val="004C007A"/>
    <w:rsid w:val="004C05DA"/>
    <w:rsid w:val="004C0ABD"/>
    <w:rsid w:val="004C2538"/>
    <w:rsid w:val="004C264A"/>
    <w:rsid w:val="004C3844"/>
    <w:rsid w:val="004C3AF8"/>
    <w:rsid w:val="004C3E2B"/>
    <w:rsid w:val="004C3E64"/>
    <w:rsid w:val="004C5E86"/>
    <w:rsid w:val="004C620E"/>
    <w:rsid w:val="004C67B2"/>
    <w:rsid w:val="004C6C2C"/>
    <w:rsid w:val="004C79D5"/>
    <w:rsid w:val="004C7AF6"/>
    <w:rsid w:val="004C7D67"/>
    <w:rsid w:val="004D0022"/>
    <w:rsid w:val="004D086E"/>
    <w:rsid w:val="004D0D05"/>
    <w:rsid w:val="004D0DCB"/>
    <w:rsid w:val="004D0E51"/>
    <w:rsid w:val="004D1539"/>
    <w:rsid w:val="004D270B"/>
    <w:rsid w:val="004D2C17"/>
    <w:rsid w:val="004D3BC2"/>
    <w:rsid w:val="004D3C53"/>
    <w:rsid w:val="004D3E60"/>
    <w:rsid w:val="004D411B"/>
    <w:rsid w:val="004D47D0"/>
    <w:rsid w:val="004D490B"/>
    <w:rsid w:val="004D4B2B"/>
    <w:rsid w:val="004D4CC7"/>
    <w:rsid w:val="004D4DB4"/>
    <w:rsid w:val="004D5575"/>
    <w:rsid w:val="004D60AD"/>
    <w:rsid w:val="004D6189"/>
    <w:rsid w:val="004D7F94"/>
    <w:rsid w:val="004E088A"/>
    <w:rsid w:val="004E08AD"/>
    <w:rsid w:val="004E10C7"/>
    <w:rsid w:val="004E137A"/>
    <w:rsid w:val="004E1A12"/>
    <w:rsid w:val="004E368E"/>
    <w:rsid w:val="004E4833"/>
    <w:rsid w:val="004E66CE"/>
    <w:rsid w:val="004E6832"/>
    <w:rsid w:val="004E6970"/>
    <w:rsid w:val="004E6CD5"/>
    <w:rsid w:val="004E728C"/>
    <w:rsid w:val="004E7430"/>
    <w:rsid w:val="004E78A8"/>
    <w:rsid w:val="004E796F"/>
    <w:rsid w:val="004E79DF"/>
    <w:rsid w:val="004E7CFA"/>
    <w:rsid w:val="004F080F"/>
    <w:rsid w:val="004F0B4F"/>
    <w:rsid w:val="004F0FF1"/>
    <w:rsid w:val="004F1224"/>
    <w:rsid w:val="004F1E73"/>
    <w:rsid w:val="004F365D"/>
    <w:rsid w:val="004F39E3"/>
    <w:rsid w:val="004F3A11"/>
    <w:rsid w:val="004F4466"/>
    <w:rsid w:val="004F46CE"/>
    <w:rsid w:val="004F484D"/>
    <w:rsid w:val="004F4C09"/>
    <w:rsid w:val="004F4D87"/>
    <w:rsid w:val="004F4FC0"/>
    <w:rsid w:val="004F5E76"/>
    <w:rsid w:val="004F5F26"/>
    <w:rsid w:val="004F5F59"/>
    <w:rsid w:val="004F66D8"/>
    <w:rsid w:val="004F6C8A"/>
    <w:rsid w:val="004F7760"/>
    <w:rsid w:val="004F7AF4"/>
    <w:rsid w:val="005000EB"/>
    <w:rsid w:val="00500DB5"/>
    <w:rsid w:val="005010BD"/>
    <w:rsid w:val="00501C4A"/>
    <w:rsid w:val="00502373"/>
    <w:rsid w:val="005036F8"/>
    <w:rsid w:val="00503C98"/>
    <w:rsid w:val="00503CE5"/>
    <w:rsid w:val="005044BE"/>
    <w:rsid w:val="0050470C"/>
    <w:rsid w:val="00504BDB"/>
    <w:rsid w:val="005055CC"/>
    <w:rsid w:val="00505E2D"/>
    <w:rsid w:val="00506A73"/>
    <w:rsid w:val="00507C15"/>
    <w:rsid w:val="00507E31"/>
    <w:rsid w:val="00511191"/>
    <w:rsid w:val="00511213"/>
    <w:rsid w:val="00511783"/>
    <w:rsid w:val="00511AA5"/>
    <w:rsid w:val="00511FE2"/>
    <w:rsid w:val="00512C8A"/>
    <w:rsid w:val="00512D10"/>
    <w:rsid w:val="005130D9"/>
    <w:rsid w:val="0051388D"/>
    <w:rsid w:val="00513924"/>
    <w:rsid w:val="0051423B"/>
    <w:rsid w:val="005143CE"/>
    <w:rsid w:val="0051455C"/>
    <w:rsid w:val="0051502E"/>
    <w:rsid w:val="005153EB"/>
    <w:rsid w:val="0051547D"/>
    <w:rsid w:val="005156D2"/>
    <w:rsid w:val="0051592C"/>
    <w:rsid w:val="00516674"/>
    <w:rsid w:val="00517657"/>
    <w:rsid w:val="00517FED"/>
    <w:rsid w:val="00521162"/>
    <w:rsid w:val="00521621"/>
    <w:rsid w:val="005221B1"/>
    <w:rsid w:val="00522D12"/>
    <w:rsid w:val="00523A9B"/>
    <w:rsid w:val="00524290"/>
    <w:rsid w:val="005242ED"/>
    <w:rsid w:val="00524326"/>
    <w:rsid w:val="00524401"/>
    <w:rsid w:val="005247C6"/>
    <w:rsid w:val="00524DAC"/>
    <w:rsid w:val="00525AC6"/>
    <w:rsid w:val="00525D1C"/>
    <w:rsid w:val="00525FA9"/>
    <w:rsid w:val="00526AC3"/>
    <w:rsid w:val="00527184"/>
    <w:rsid w:val="00527211"/>
    <w:rsid w:val="00527F8B"/>
    <w:rsid w:val="00530451"/>
    <w:rsid w:val="0053086C"/>
    <w:rsid w:val="00530BA3"/>
    <w:rsid w:val="00532C09"/>
    <w:rsid w:val="00532F25"/>
    <w:rsid w:val="00532F2A"/>
    <w:rsid w:val="00533863"/>
    <w:rsid w:val="00533B51"/>
    <w:rsid w:val="00533BE9"/>
    <w:rsid w:val="005347AC"/>
    <w:rsid w:val="00534E44"/>
    <w:rsid w:val="00534F33"/>
    <w:rsid w:val="005364DE"/>
    <w:rsid w:val="005364F2"/>
    <w:rsid w:val="00536749"/>
    <w:rsid w:val="00536875"/>
    <w:rsid w:val="0053732A"/>
    <w:rsid w:val="00537C58"/>
    <w:rsid w:val="00540AA8"/>
    <w:rsid w:val="00541367"/>
    <w:rsid w:val="00541FC7"/>
    <w:rsid w:val="00542353"/>
    <w:rsid w:val="00542961"/>
    <w:rsid w:val="00542BD7"/>
    <w:rsid w:val="005435F5"/>
    <w:rsid w:val="005437D4"/>
    <w:rsid w:val="00544012"/>
    <w:rsid w:val="00544145"/>
    <w:rsid w:val="0054445A"/>
    <w:rsid w:val="00544489"/>
    <w:rsid w:val="00544AE4"/>
    <w:rsid w:val="00545320"/>
    <w:rsid w:val="0054641C"/>
    <w:rsid w:val="00547B70"/>
    <w:rsid w:val="00547D7F"/>
    <w:rsid w:val="00547FE6"/>
    <w:rsid w:val="0055022D"/>
    <w:rsid w:val="00550998"/>
    <w:rsid w:val="00550D66"/>
    <w:rsid w:val="00550EC5"/>
    <w:rsid w:val="005512BC"/>
    <w:rsid w:val="0055168D"/>
    <w:rsid w:val="00551F7F"/>
    <w:rsid w:val="00552096"/>
    <w:rsid w:val="00553056"/>
    <w:rsid w:val="00553433"/>
    <w:rsid w:val="005538EC"/>
    <w:rsid w:val="005539A9"/>
    <w:rsid w:val="00553B06"/>
    <w:rsid w:val="00553B2E"/>
    <w:rsid w:val="00553D19"/>
    <w:rsid w:val="005540B0"/>
    <w:rsid w:val="005544CD"/>
    <w:rsid w:val="005548AE"/>
    <w:rsid w:val="00554CBC"/>
    <w:rsid w:val="00554DD1"/>
    <w:rsid w:val="00554FC0"/>
    <w:rsid w:val="0055504C"/>
    <w:rsid w:val="00555139"/>
    <w:rsid w:val="00555D44"/>
    <w:rsid w:val="00555EA4"/>
    <w:rsid w:val="005562AA"/>
    <w:rsid w:val="005564D2"/>
    <w:rsid w:val="005575EF"/>
    <w:rsid w:val="0055784F"/>
    <w:rsid w:val="00557A5E"/>
    <w:rsid w:val="00560077"/>
    <w:rsid w:val="005600A9"/>
    <w:rsid w:val="005605E7"/>
    <w:rsid w:val="005608CD"/>
    <w:rsid w:val="00560C97"/>
    <w:rsid w:val="00560D47"/>
    <w:rsid w:val="00561B14"/>
    <w:rsid w:val="00562546"/>
    <w:rsid w:val="005628B0"/>
    <w:rsid w:val="00562954"/>
    <w:rsid w:val="00562D9E"/>
    <w:rsid w:val="005632FA"/>
    <w:rsid w:val="0056449E"/>
    <w:rsid w:val="00564F5C"/>
    <w:rsid w:val="00565048"/>
    <w:rsid w:val="00565133"/>
    <w:rsid w:val="00565A53"/>
    <w:rsid w:val="00566A58"/>
    <w:rsid w:val="005670CD"/>
    <w:rsid w:val="0056714E"/>
    <w:rsid w:val="005671DB"/>
    <w:rsid w:val="005678D4"/>
    <w:rsid w:val="00570985"/>
    <w:rsid w:val="00571CE8"/>
    <w:rsid w:val="00571F92"/>
    <w:rsid w:val="005724D2"/>
    <w:rsid w:val="0057266A"/>
    <w:rsid w:val="005729CB"/>
    <w:rsid w:val="00572D32"/>
    <w:rsid w:val="0057316F"/>
    <w:rsid w:val="00573350"/>
    <w:rsid w:val="00573519"/>
    <w:rsid w:val="00573DDC"/>
    <w:rsid w:val="00573EDF"/>
    <w:rsid w:val="0057438D"/>
    <w:rsid w:val="00574BB1"/>
    <w:rsid w:val="00574CB6"/>
    <w:rsid w:val="00576EEE"/>
    <w:rsid w:val="00577942"/>
    <w:rsid w:val="00577BE6"/>
    <w:rsid w:val="0058042C"/>
    <w:rsid w:val="00580E19"/>
    <w:rsid w:val="005819B8"/>
    <w:rsid w:val="00581BB8"/>
    <w:rsid w:val="0058258D"/>
    <w:rsid w:val="00582C2C"/>
    <w:rsid w:val="00583040"/>
    <w:rsid w:val="00583349"/>
    <w:rsid w:val="00583394"/>
    <w:rsid w:val="005835CA"/>
    <w:rsid w:val="00583F2F"/>
    <w:rsid w:val="00584038"/>
    <w:rsid w:val="005841B9"/>
    <w:rsid w:val="00584DC2"/>
    <w:rsid w:val="00585F53"/>
    <w:rsid w:val="0058632A"/>
    <w:rsid w:val="00591846"/>
    <w:rsid w:val="00591F15"/>
    <w:rsid w:val="005929E3"/>
    <w:rsid w:val="00592AF0"/>
    <w:rsid w:val="005933EE"/>
    <w:rsid w:val="0059361B"/>
    <w:rsid w:val="00594183"/>
    <w:rsid w:val="00594880"/>
    <w:rsid w:val="005948FA"/>
    <w:rsid w:val="00594FC4"/>
    <w:rsid w:val="00594FE9"/>
    <w:rsid w:val="005956EB"/>
    <w:rsid w:val="00595E50"/>
    <w:rsid w:val="005961A1"/>
    <w:rsid w:val="005961B7"/>
    <w:rsid w:val="005962EB"/>
    <w:rsid w:val="0059671A"/>
    <w:rsid w:val="00597552"/>
    <w:rsid w:val="005A0230"/>
    <w:rsid w:val="005A02FC"/>
    <w:rsid w:val="005A083D"/>
    <w:rsid w:val="005A2156"/>
    <w:rsid w:val="005A30FB"/>
    <w:rsid w:val="005A3F9B"/>
    <w:rsid w:val="005A41FF"/>
    <w:rsid w:val="005A43B4"/>
    <w:rsid w:val="005A4788"/>
    <w:rsid w:val="005A4957"/>
    <w:rsid w:val="005A4AD9"/>
    <w:rsid w:val="005A4D46"/>
    <w:rsid w:val="005A4EDA"/>
    <w:rsid w:val="005A4F16"/>
    <w:rsid w:val="005A5DEA"/>
    <w:rsid w:val="005A6453"/>
    <w:rsid w:val="005A6480"/>
    <w:rsid w:val="005A68CC"/>
    <w:rsid w:val="005A6A85"/>
    <w:rsid w:val="005A6D52"/>
    <w:rsid w:val="005A7393"/>
    <w:rsid w:val="005A7DD4"/>
    <w:rsid w:val="005A7E89"/>
    <w:rsid w:val="005B00C0"/>
    <w:rsid w:val="005B0A09"/>
    <w:rsid w:val="005B0B52"/>
    <w:rsid w:val="005B0E57"/>
    <w:rsid w:val="005B1283"/>
    <w:rsid w:val="005B1627"/>
    <w:rsid w:val="005B19BD"/>
    <w:rsid w:val="005B1A15"/>
    <w:rsid w:val="005B1F3A"/>
    <w:rsid w:val="005B21CD"/>
    <w:rsid w:val="005B222A"/>
    <w:rsid w:val="005B2C09"/>
    <w:rsid w:val="005B2F6C"/>
    <w:rsid w:val="005B3E6C"/>
    <w:rsid w:val="005B49DD"/>
    <w:rsid w:val="005B4C04"/>
    <w:rsid w:val="005B55B9"/>
    <w:rsid w:val="005B5ADB"/>
    <w:rsid w:val="005B66A1"/>
    <w:rsid w:val="005B69D6"/>
    <w:rsid w:val="005B6B91"/>
    <w:rsid w:val="005B6CCC"/>
    <w:rsid w:val="005B73CE"/>
    <w:rsid w:val="005C1AE4"/>
    <w:rsid w:val="005C3834"/>
    <w:rsid w:val="005C3F5E"/>
    <w:rsid w:val="005C46BB"/>
    <w:rsid w:val="005C49AF"/>
    <w:rsid w:val="005C56D3"/>
    <w:rsid w:val="005C5BA3"/>
    <w:rsid w:val="005C5C68"/>
    <w:rsid w:val="005C5F6B"/>
    <w:rsid w:val="005C6590"/>
    <w:rsid w:val="005C6B88"/>
    <w:rsid w:val="005C7164"/>
    <w:rsid w:val="005C76AA"/>
    <w:rsid w:val="005D07EB"/>
    <w:rsid w:val="005D086E"/>
    <w:rsid w:val="005D09BF"/>
    <w:rsid w:val="005D0A70"/>
    <w:rsid w:val="005D0B7D"/>
    <w:rsid w:val="005D12C8"/>
    <w:rsid w:val="005D17BF"/>
    <w:rsid w:val="005D189D"/>
    <w:rsid w:val="005D1FFB"/>
    <w:rsid w:val="005D20CD"/>
    <w:rsid w:val="005D217D"/>
    <w:rsid w:val="005D222A"/>
    <w:rsid w:val="005D2DD3"/>
    <w:rsid w:val="005D3216"/>
    <w:rsid w:val="005D36DB"/>
    <w:rsid w:val="005D3F41"/>
    <w:rsid w:val="005D4577"/>
    <w:rsid w:val="005D4992"/>
    <w:rsid w:val="005D4C82"/>
    <w:rsid w:val="005D52AD"/>
    <w:rsid w:val="005D5DC2"/>
    <w:rsid w:val="005D7B05"/>
    <w:rsid w:val="005E003E"/>
    <w:rsid w:val="005E0930"/>
    <w:rsid w:val="005E0DB2"/>
    <w:rsid w:val="005E12DB"/>
    <w:rsid w:val="005E134E"/>
    <w:rsid w:val="005E1947"/>
    <w:rsid w:val="005E1B2A"/>
    <w:rsid w:val="005E1BE9"/>
    <w:rsid w:val="005E1E91"/>
    <w:rsid w:val="005E2686"/>
    <w:rsid w:val="005E30BB"/>
    <w:rsid w:val="005E3236"/>
    <w:rsid w:val="005E323A"/>
    <w:rsid w:val="005E3A6E"/>
    <w:rsid w:val="005E3FAB"/>
    <w:rsid w:val="005E4869"/>
    <w:rsid w:val="005E4C00"/>
    <w:rsid w:val="005E4E4D"/>
    <w:rsid w:val="005E50C5"/>
    <w:rsid w:val="005E573A"/>
    <w:rsid w:val="005E59FA"/>
    <w:rsid w:val="005E612B"/>
    <w:rsid w:val="005E6467"/>
    <w:rsid w:val="005E7014"/>
    <w:rsid w:val="005E7EBC"/>
    <w:rsid w:val="005F03F6"/>
    <w:rsid w:val="005F0F4A"/>
    <w:rsid w:val="005F179C"/>
    <w:rsid w:val="005F17AF"/>
    <w:rsid w:val="005F2CD6"/>
    <w:rsid w:val="005F3248"/>
    <w:rsid w:val="005F4048"/>
    <w:rsid w:val="005F40D2"/>
    <w:rsid w:val="005F439C"/>
    <w:rsid w:val="005F554F"/>
    <w:rsid w:val="005F559F"/>
    <w:rsid w:val="005F55C0"/>
    <w:rsid w:val="005F7DFE"/>
    <w:rsid w:val="00600CEA"/>
    <w:rsid w:val="00600F70"/>
    <w:rsid w:val="00601480"/>
    <w:rsid w:val="006016B6"/>
    <w:rsid w:val="00601A0B"/>
    <w:rsid w:val="00601AE0"/>
    <w:rsid w:val="00602231"/>
    <w:rsid w:val="00602737"/>
    <w:rsid w:val="00602A95"/>
    <w:rsid w:val="00602DBA"/>
    <w:rsid w:val="00602F5C"/>
    <w:rsid w:val="006035FA"/>
    <w:rsid w:val="006048C5"/>
    <w:rsid w:val="00604A4D"/>
    <w:rsid w:val="00604C5A"/>
    <w:rsid w:val="0060568C"/>
    <w:rsid w:val="00606350"/>
    <w:rsid w:val="00606427"/>
    <w:rsid w:val="00606DAB"/>
    <w:rsid w:val="006079B5"/>
    <w:rsid w:val="00607E79"/>
    <w:rsid w:val="00610221"/>
    <w:rsid w:val="0061052E"/>
    <w:rsid w:val="006106EA"/>
    <w:rsid w:val="00610C02"/>
    <w:rsid w:val="00611017"/>
    <w:rsid w:val="006110C5"/>
    <w:rsid w:val="0061131D"/>
    <w:rsid w:val="0061196B"/>
    <w:rsid w:val="00612898"/>
    <w:rsid w:val="0061316F"/>
    <w:rsid w:val="0061343D"/>
    <w:rsid w:val="006137DE"/>
    <w:rsid w:val="0061422D"/>
    <w:rsid w:val="00614783"/>
    <w:rsid w:val="006149F3"/>
    <w:rsid w:val="00614A3E"/>
    <w:rsid w:val="006150BD"/>
    <w:rsid w:val="0061511C"/>
    <w:rsid w:val="0061542F"/>
    <w:rsid w:val="0061559F"/>
    <w:rsid w:val="006159BD"/>
    <w:rsid w:val="00615C7D"/>
    <w:rsid w:val="00615E5D"/>
    <w:rsid w:val="006165D6"/>
    <w:rsid w:val="00616A33"/>
    <w:rsid w:val="006216C7"/>
    <w:rsid w:val="006235F2"/>
    <w:rsid w:val="00623ADA"/>
    <w:rsid w:val="006247EB"/>
    <w:rsid w:val="00624B66"/>
    <w:rsid w:val="006257B1"/>
    <w:rsid w:val="00625C48"/>
    <w:rsid w:val="00625E1A"/>
    <w:rsid w:val="0062668C"/>
    <w:rsid w:val="00626904"/>
    <w:rsid w:val="00626B52"/>
    <w:rsid w:val="00627126"/>
    <w:rsid w:val="00627151"/>
    <w:rsid w:val="006271C2"/>
    <w:rsid w:val="00627B57"/>
    <w:rsid w:val="00627FBF"/>
    <w:rsid w:val="006306A2"/>
    <w:rsid w:val="006309E3"/>
    <w:rsid w:val="00630B66"/>
    <w:rsid w:val="00631254"/>
    <w:rsid w:val="00631300"/>
    <w:rsid w:val="00631928"/>
    <w:rsid w:val="00631C37"/>
    <w:rsid w:val="006322AC"/>
    <w:rsid w:val="006333A5"/>
    <w:rsid w:val="00633410"/>
    <w:rsid w:val="00633EEC"/>
    <w:rsid w:val="006341CC"/>
    <w:rsid w:val="00634A57"/>
    <w:rsid w:val="00635340"/>
    <w:rsid w:val="00635593"/>
    <w:rsid w:val="00635CDF"/>
    <w:rsid w:val="00635F5C"/>
    <w:rsid w:val="00636B3C"/>
    <w:rsid w:val="00636BA2"/>
    <w:rsid w:val="00637605"/>
    <w:rsid w:val="00637E20"/>
    <w:rsid w:val="00640A11"/>
    <w:rsid w:val="00640A6B"/>
    <w:rsid w:val="0064121A"/>
    <w:rsid w:val="006417C7"/>
    <w:rsid w:val="0064190E"/>
    <w:rsid w:val="00642A41"/>
    <w:rsid w:val="00643388"/>
    <w:rsid w:val="00643401"/>
    <w:rsid w:val="006439A3"/>
    <w:rsid w:val="00644217"/>
    <w:rsid w:val="00644267"/>
    <w:rsid w:val="00645BE9"/>
    <w:rsid w:val="00646579"/>
    <w:rsid w:val="00646A2F"/>
    <w:rsid w:val="00646A87"/>
    <w:rsid w:val="00646B45"/>
    <w:rsid w:val="00646DDE"/>
    <w:rsid w:val="0064736F"/>
    <w:rsid w:val="00647671"/>
    <w:rsid w:val="006501B4"/>
    <w:rsid w:val="0065040F"/>
    <w:rsid w:val="00650459"/>
    <w:rsid w:val="00650A4C"/>
    <w:rsid w:val="00650C4A"/>
    <w:rsid w:val="00650CB9"/>
    <w:rsid w:val="0065139F"/>
    <w:rsid w:val="0065216D"/>
    <w:rsid w:val="00652799"/>
    <w:rsid w:val="00652D49"/>
    <w:rsid w:val="00652EBE"/>
    <w:rsid w:val="00652F83"/>
    <w:rsid w:val="00653268"/>
    <w:rsid w:val="0065386E"/>
    <w:rsid w:val="00654A47"/>
    <w:rsid w:val="0065547C"/>
    <w:rsid w:val="006558E7"/>
    <w:rsid w:val="00656C43"/>
    <w:rsid w:val="006571B8"/>
    <w:rsid w:val="006576C5"/>
    <w:rsid w:val="006579E4"/>
    <w:rsid w:val="00657ED5"/>
    <w:rsid w:val="0066061C"/>
    <w:rsid w:val="00660F43"/>
    <w:rsid w:val="0066128D"/>
    <w:rsid w:val="006612B5"/>
    <w:rsid w:val="00661737"/>
    <w:rsid w:val="006626D9"/>
    <w:rsid w:val="00662CD6"/>
    <w:rsid w:val="00663447"/>
    <w:rsid w:val="0066361B"/>
    <w:rsid w:val="006636FD"/>
    <w:rsid w:val="00663DFD"/>
    <w:rsid w:val="00664890"/>
    <w:rsid w:val="00664F21"/>
    <w:rsid w:val="006650B5"/>
    <w:rsid w:val="006651E8"/>
    <w:rsid w:val="00665DB6"/>
    <w:rsid w:val="00665EE7"/>
    <w:rsid w:val="0066645F"/>
    <w:rsid w:val="00666A15"/>
    <w:rsid w:val="00667D2E"/>
    <w:rsid w:val="00667F67"/>
    <w:rsid w:val="00670C68"/>
    <w:rsid w:val="00670F82"/>
    <w:rsid w:val="00671523"/>
    <w:rsid w:val="00671661"/>
    <w:rsid w:val="00672231"/>
    <w:rsid w:val="00672465"/>
    <w:rsid w:val="0067309F"/>
    <w:rsid w:val="0067325F"/>
    <w:rsid w:val="00673364"/>
    <w:rsid w:val="006735F5"/>
    <w:rsid w:val="006736B1"/>
    <w:rsid w:val="00673B88"/>
    <w:rsid w:val="0067431E"/>
    <w:rsid w:val="00675123"/>
    <w:rsid w:val="00675F10"/>
    <w:rsid w:val="00675FA2"/>
    <w:rsid w:val="00676053"/>
    <w:rsid w:val="00676134"/>
    <w:rsid w:val="0067670C"/>
    <w:rsid w:val="00677C52"/>
    <w:rsid w:val="0068044D"/>
    <w:rsid w:val="00680A03"/>
    <w:rsid w:val="00681747"/>
    <w:rsid w:val="00681E6C"/>
    <w:rsid w:val="00682068"/>
    <w:rsid w:val="006820BC"/>
    <w:rsid w:val="0068262A"/>
    <w:rsid w:val="00683067"/>
    <w:rsid w:val="00683424"/>
    <w:rsid w:val="00683B6F"/>
    <w:rsid w:val="00683C3A"/>
    <w:rsid w:val="00683DC2"/>
    <w:rsid w:val="00684766"/>
    <w:rsid w:val="00684DAA"/>
    <w:rsid w:val="0068543B"/>
    <w:rsid w:val="0068590A"/>
    <w:rsid w:val="00686628"/>
    <w:rsid w:val="00686C4A"/>
    <w:rsid w:val="00686FAC"/>
    <w:rsid w:val="00687A2C"/>
    <w:rsid w:val="00687AF2"/>
    <w:rsid w:val="006905EA"/>
    <w:rsid w:val="00690E29"/>
    <w:rsid w:val="00691404"/>
    <w:rsid w:val="00691B95"/>
    <w:rsid w:val="00692023"/>
    <w:rsid w:val="00694A97"/>
    <w:rsid w:val="00694B93"/>
    <w:rsid w:val="00695615"/>
    <w:rsid w:val="00695E42"/>
    <w:rsid w:val="00695E98"/>
    <w:rsid w:val="0069605E"/>
    <w:rsid w:val="00697729"/>
    <w:rsid w:val="00697C64"/>
    <w:rsid w:val="006A02FD"/>
    <w:rsid w:val="006A0336"/>
    <w:rsid w:val="006A0900"/>
    <w:rsid w:val="006A0A68"/>
    <w:rsid w:val="006A0CA5"/>
    <w:rsid w:val="006A0F1A"/>
    <w:rsid w:val="006A11BD"/>
    <w:rsid w:val="006A14F1"/>
    <w:rsid w:val="006A1E94"/>
    <w:rsid w:val="006A201D"/>
    <w:rsid w:val="006A2150"/>
    <w:rsid w:val="006A2ADE"/>
    <w:rsid w:val="006A30F1"/>
    <w:rsid w:val="006A3632"/>
    <w:rsid w:val="006A3A50"/>
    <w:rsid w:val="006A4101"/>
    <w:rsid w:val="006A6611"/>
    <w:rsid w:val="006A738C"/>
    <w:rsid w:val="006A7996"/>
    <w:rsid w:val="006B026B"/>
    <w:rsid w:val="006B05B4"/>
    <w:rsid w:val="006B0641"/>
    <w:rsid w:val="006B06E9"/>
    <w:rsid w:val="006B0A41"/>
    <w:rsid w:val="006B1040"/>
    <w:rsid w:val="006B1163"/>
    <w:rsid w:val="006B18F3"/>
    <w:rsid w:val="006B19F0"/>
    <w:rsid w:val="006B1ABE"/>
    <w:rsid w:val="006B2363"/>
    <w:rsid w:val="006B2566"/>
    <w:rsid w:val="006B3593"/>
    <w:rsid w:val="006B360B"/>
    <w:rsid w:val="006B5439"/>
    <w:rsid w:val="006B6041"/>
    <w:rsid w:val="006B67AB"/>
    <w:rsid w:val="006B6AA7"/>
    <w:rsid w:val="006B6EC4"/>
    <w:rsid w:val="006B76D1"/>
    <w:rsid w:val="006B7762"/>
    <w:rsid w:val="006B7BE7"/>
    <w:rsid w:val="006C0AA1"/>
    <w:rsid w:val="006C0CC1"/>
    <w:rsid w:val="006C0DAA"/>
    <w:rsid w:val="006C179C"/>
    <w:rsid w:val="006C1A20"/>
    <w:rsid w:val="006C1DD1"/>
    <w:rsid w:val="006C1E14"/>
    <w:rsid w:val="006C2A1E"/>
    <w:rsid w:val="006C2A2E"/>
    <w:rsid w:val="006C2CAE"/>
    <w:rsid w:val="006C30B3"/>
    <w:rsid w:val="006C35A8"/>
    <w:rsid w:val="006C3AF0"/>
    <w:rsid w:val="006C45B0"/>
    <w:rsid w:val="006C6612"/>
    <w:rsid w:val="006C68E9"/>
    <w:rsid w:val="006C6900"/>
    <w:rsid w:val="006C69D4"/>
    <w:rsid w:val="006C6D3F"/>
    <w:rsid w:val="006D0654"/>
    <w:rsid w:val="006D07B1"/>
    <w:rsid w:val="006D084E"/>
    <w:rsid w:val="006D16D7"/>
    <w:rsid w:val="006D1AF9"/>
    <w:rsid w:val="006D2C70"/>
    <w:rsid w:val="006D2DD0"/>
    <w:rsid w:val="006D361C"/>
    <w:rsid w:val="006D4ADA"/>
    <w:rsid w:val="006D4B86"/>
    <w:rsid w:val="006D503F"/>
    <w:rsid w:val="006D584A"/>
    <w:rsid w:val="006D5928"/>
    <w:rsid w:val="006D5BBB"/>
    <w:rsid w:val="006D6DC8"/>
    <w:rsid w:val="006D76C5"/>
    <w:rsid w:val="006D7A6A"/>
    <w:rsid w:val="006D7C5D"/>
    <w:rsid w:val="006D7DD2"/>
    <w:rsid w:val="006E1253"/>
    <w:rsid w:val="006E12B1"/>
    <w:rsid w:val="006E22FD"/>
    <w:rsid w:val="006E231B"/>
    <w:rsid w:val="006E2DD1"/>
    <w:rsid w:val="006E2F8D"/>
    <w:rsid w:val="006E2F8F"/>
    <w:rsid w:val="006E2FEF"/>
    <w:rsid w:val="006E3BEB"/>
    <w:rsid w:val="006E41A4"/>
    <w:rsid w:val="006E4226"/>
    <w:rsid w:val="006E5092"/>
    <w:rsid w:val="006E5C4D"/>
    <w:rsid w:val="006E5DF5"/>
    <w:rsid w:val="006E63D0"/>
    <w:rsid w:val="006E66E6"/>
    <w:rsid w:val="006E709D"/>
    <w:rsid w:val="006F04C0"/>
    <w:rsid w:val="006F06F6"/>
    <w:rsid w:val="006F0B7D"/>
    <w:rsid w:val="006F0C91"/>
    <w:rsid w:val="006F0D9E"/>
    <w:rsid w:val="006F1173"/>
    <w:rsid w:val="006F1BDB"/>
    <w:rsid w:val="006F1EBD"/>
    <w:rsid w:val="006F2430"/>
    <w:rsid w:val="006F262F"/>
    <w:rsid w:val="006F26C1"/>
    <w:rsid w:val="006F3C73"/>
    <w:rsid w:val="006F408B"/>
    <w:rsid w:val="006F4759"/>
    <w:rsid w:val="006F51A4"/>
    <w:rsid w:val="006F5496"/>
    <w:rsid w:val="006F57D2"/>
    <w:rsid w:val="006F59A5"/>
    <w:rsid w:val="006F5A62"/>
    <w:rsid w:val="006F6F7B"/>
    <w:rsid w:val="006F729A"/>
    <w:rsid w:val="00700FDF"/>
    <w:rsid w:val="007018B6"/>
    <w:rsid w:val="00702640"/>
    <w:rsid w:val="00702A36"/>
    <w:rsid w:val="00702E82"/>
    <w:rsid w:val="00703604"/>
    <w:rsid w:val="00703C6E"/>
    <w:rsid w:val="007041F1"/>
    <w:rsid w:val="007046F8"/>
    <w:rsid w:val="007052C7"/>
    <w:rsid w:val="007055B7"/>
    <w:rsid w:val="00705891"/>
    <w:rsid w:val="00705B72"/>
    <w:rsid w:val="007075EB"/>
    <w:rsid w:val="00710063"/>
    <w:rsid w:val="00711706"/>
    <w:rsid w:val="00711B55"/>
    <w:rsid w:val="00711E9C"/>
    <w:rsid w:val="00712276"/>
    <w:rsid w:val="0071252A"/>
    <w:rsid w:val="00712810"/>
    <w:rsid w:val="0071292B"/>
    <w:rsid w:val="00712F8F"/>
    <w:rsid w:val="00713145"/>
    <w:rsid w:val="00713DF8"/>
    <w:rsid w:val="007152D1"/>
    <w:rsid w:val="00715AE8"/>
    <w:rsid w:val="00715D1F"/>
    <w:rsid w:val="00717D9B"/>
    <w:rsid w:val="00717F60"/>
    <w:rsid w:val="007200D5"/>
    <w:rsid w:val="007201F5"/>
    <w:rsid w:val="007203EF"/>
    <w:rsid w:val="00720CE1"/>
    <w:rsid w:val="007210AE"/>
    <w:rsid w:val="007214FD"/>
    <w:rsid w:val="0072166D"/>
    <w:rsid w:val="00721A2A"/>
    <w:rsid w:val="00721D39"/>
    <w:rsid w:val="00722980"/>
    <w:rsid w:val="00723008"/>
    <w:rsid w:val="007231A3"/>
    <w:rsid w:val="007245E2"/>
    <w:rsid w:val="00724656"/>
    <w:rsid w:val="0072477D"/>
    <w:rsid w:val="00724ED4"/>
    <w:rsid w:val="007251A2"/>
    <w:rsid w:val="007260FF"/>
    <w:rsid w:val="00726B4E"/>
    <w:rsid w:val="007276E2"/>
    <w:rsid w:val="007313CD"/>
    <w:rsid w:val="007326A4"/>
    <w:rsid w:val="00732BCD"/>
    <w:rsid w:val="0073300C"/>
    <w:rsid w:val="007330C3"/>
    <w:rsid w:val="0073401C"/>
    <w:rsid w:val="007344B8"/>
    <w:rsid w:val="00734A85"/>
    <w:rsid w:val="00734DD6"/>
    <w:rsid w:val="00734FE3"/>
    <w:rsid w:val="00735650"/>
    <w:rsid w:val="00735CE9"/>
    <w:rsid w:val="0073765A"/>
    <w:rsid w:val="00737D71"/>
    <w:rsid w:val="00740720"/>
    <w:rsid w:val="00740C2E"/>
    <w:rsid w:val="00740E35"/>
    <w:rsid w:val="00740F8E"/>
    <w:rsid w:val="007423D1"/>
    <w:rsid w:val="00743956"/>
    <w:rsid w:val="00744334"/>
    <w:rsid w:val="00744E51"/>
    <w:rsid w:val="00747293"/>
    <w:rsid w:val="00747391"/>
    <w:rsid w:val="007477D9"/>
    <w:rsid w:val="0075054B"/>
    <w:rsid w:val="00751191"/>
    <w:rsid w:val="00751B3C"/>
    <w:rsid w:val="00752322"/>
    <w:rsid w:val="00752B4F"/>
    <w:rsid w:val="00752E6D"/>
    <w:rsid w:val="00752F67"/>
    <w:rsid w:val="0075315E"/>
    <w:rsid w:val="00754874"/>
    <w:rsid w:val="007563C6"/>
    <w:rsid w:val="007569E1"/>
    <w:rsid w:val="00756FC9"/>
    <w:rsid w:val="00756FDC"/>
    <w:rsid w:val="007574CE"/>
    <w:rsid w:val="00757746"/>
    <w:rsid w:val="00760CF6"/>
    <w:rsid w:val="00761072"/>
    <w:rsid w:val="0076142B"/>
    <w:rsid w:val="00761EC9"/>
    <w:rsid w:val="00762544"/>
    <w:rsid w:val="00762D4E"/>
    <w:rsid w:val="00762ED0"/>
    <w:rsid w:val="00763B6E"/>
    <w:rsid w:val="00763F0E"/>
    <w:rsid w:val="00764127"/>
    <w:rsid w:val="0076434E"/>
    <w:rsid w:val="00764FBA"/>
    <w:rsid w:val="007650D6"/>
    <w:rsid w:val="0076572A"/>
    <w:rsid w:val="007658CE"/>
    <w:rsid w:val="00766472"/>
    <w:rsid w:val="007666A0"/>
    <w:rsid w:val="00767325"/>
    <w:rsid w:val="00767543"/>
    <w:rsid w:val="00767879"/>
    <w:rsid w:val="00767BDA"/>
    <w:rsid w:val="007703DB"/>
    <w:rsid w:val="00770410"/>
    <w:rsid w:val="007704C6"/>
    <w:rsid w:val="0077051E"/>
    <w:rsid w:val="00771145"/>
    <w:rsid w:val="00771B74"/>
    <w:rsid w:val="0077277E"/>
    <w:rsid w:val="007729A1"/>
    <w:rsid w:val="00772DAC"/>
    <w:rsid w:val="00773205"/>
    <w:rsid w:val="0077339B"/>
    <w:rsid w:val="0077347E"/>
    <w:rsid w:val="007739D6"/>
    <w:rsid w:val="0077461A"/>
    <w:rsid w:val="00774AE7"/>
    <w:rsid w:val="00774C64"/>
    <w:rsid w:val="007757C6"/>
    <w:rsid w:val="00776DF7"/>
    <w:rsid w:val="00777662"/>
    <w:rsid w:val="0077788F"/>
    <w:rsid w:val="007800BF"/>
    <w:rsid w:val="00780693"/>
    <w:rsid w:val="007815E1"/>
    <w:rsid w:val="007817F1"/>
    <w:rsid w:val="00781A0B"/>
    <w:rsid w:val="0078225E"/>
    <w:rsid w:val="00782B07"/>
    <w:rsid w:val="00782D3B"/>
    <w:rsid w:val="007832B8"/>
    <w:rsid w:val="007837E5"/>
    <w:rsid w:val="00784A5A"/>
    <w:rsid w:val="007857A8"/>
    <w:rsid w:val="00785A36"/>
    <w:rsid w:val="00786529"/>
    <w:rsid w:val="0078660F"/>
    <w:rsid w:val="00787526"/>
    <w:rsid w:val="00787917"/>
    <w:rsid w:val="007879AE"/>
    <w:rsid w:val="00790B6E"/>
    <w:rsid w:val="00790C12"/>
    <w:rsid w:val="00791B95"/>
    <w:rsid w:val="00791C55"/>
    <w:rsid w:val="00792B51"/>
    <w:rsid w:val="00792BEF"/>
    <w:rsid w:val="00792D9B"/>
    <w:rsid w:val="0079301B"/>
    <w:rsid w:val="0079358F"/>
    <w:rsid w:val="00793AD2"/>
    <w:rsid w:val="00793D1E"/>
    <w:rsid w:val="00793D5D"/>
    <w:rsid w:val="00793ECA"/>
    <w:rsid w:val="00794C2A"/>
    <w:rsid w:val="00794CEA"/>
    <w:rsid w:val="0079512C"/>
    <w:rsid w:val="00795364"/>
    <w:rsid w:val="007953A1"/>
    <w:rsid w:val="007956FF"/>
    <w:rsid w:val="007958BC"/>
    <w:rsid w:val="00796A9D"/>
    <w:rsid w:val="00796D36"/>
    <w:rsid w:val="00797911"/>
    <w:rsid w:val="00797F0A"/>
    <w:rsid w:val="007A14E7"/>
    <w:rsid w:val="007A1916"/>
    <w:rsid w:val="007A1FDD"/>
    <w:rsid w:val="007A2314"/>
    <w:rsid w:val="007A2371"/>
    <w:rsid w:val="007A33C7"/>
    <w:rsid w:val="007A3C7F"/>
    <w:rsid w:val="007A5364"/>
    <w:rsid w:val="007A56C1"/>
    <w:rsid w:val="007A5DC0"/>
    <w:rsid w:val="007A6A64"/>
    <w:rsid w:val="007A6DAA"/>
    <w:rsid w:val="007B009D"/>
    <w:rsid w:val="007B029B"/>
    <w:rsid w:val="007B04DF"/>
    <w:rsid w:val="007B05D8"/>
    <w:rsid w:val="007B0621"/>
    <w:rsid w:val="007B0D56"/>
    <w:rsid w:val="007B1383"/>
    <w:rsid w:val="007B1789"/>
    <w:rsid w:val="007B18B1"/>
    <w:rsid w:val="007B1B7F"/>
    <w:rsid w:val="007B233A"/>
    <w:rsid w:val="007B2C7A"/>
    <w:rsid w:val="007B2FE9"/>
    <w:rsid w:val="007B3608"/>
    <w:rsid w:val="007B399D"/>
    <w:rsid w:val="007B3FE4"/>
    <w:rsid w:val="007B402A"/>
    <w:rsid w:val="007B41F8"/>
    <w:rsid w:val="007B4629"/>
    <w:rsid w:val="007B540C"/>
    <w:rsid w:val="007B5EB5"/>
    <w:rsid w:val="007B692D"/>
    <w:rsid w:val="007B7002"/>
    <w:rsid w:val="007B71EB"/>
    <w:rsid w:val="007B744E"/>
    <w:rsid w:val="007B76D8"/>
    <w:rsid w:val="007B7AFE"/>
    <w:rsid w:val="007B7FF4"/>
    <w:rsid w:val="007C0D5A"/>
    <w:rsid w:val="007C129B"/>
    <w:rsid w:val="007C1D4D"/>
    <w:rsid w:val="007C1F28"/>
    <w:rsid w:val="007C2138"/>
    <w:rsid w:val="007C22E9"/>
    <w:rsid w:val="007C23C6"/>
    <w:rsid w:val="007C2D0D"/>
    <w:rsid w:val="007C2DFD"/>
    <w:rsid w:val="007C30FD"/>
    <w:rsid w:val="007C342A"/>
    <w:rsid w:val="007C38CE"/>
    <w:rsid w:val="007C4EC4"/>
    <w:rsid w:val="007C4F20"/>
    <w:rsid w:val="007C4FD9"/>
    <w:rsid w:val="007C530B"/>
    <w:rsid w:val="007C550F"/>
    <w:rsid w:val="007C57ED"/>
    <w:rsid w:val="007C60D7"/>
    <w:rsid w:val="007C667E"/>
    <w:rsid w:val="007C6978"/>
    <w:rsid w:val="007C69FB"/>
    <w:rsid w:val="007C74B6"/>
    <w:rsid w:val="007C7E01"/>
    <w:rsid w:val="007C7E9A"/>
    <w:rsid w:val="007D0248"/>
    <w:rsid w:val="007D061A"/>
    <w:rsid w:val="007D077E"/>
    <w:rsid w:val="007D0900"/>
    <w:rsid w:val="007D14E1"/>
    <w:rsid w:val="007D16FD"/>
    <w:rsid w:val="007D1845"/>
    <w:rsid w:val="007D210A"/>
    <w:rsid w:val="007D2D5E"/>
    <w:rsid w:val="007D3145"/>
    <w:rsid w:val="007D37B1"/>
    <w:rsid w:val="007D4D67"/>
    <w:rsid w:val="007D5191"/>
    <w:rsid w:val="007D5278"/>
    <w:rsid w:val="007D555D"/>
    <w:rsid w:val="007D5D84"/>
    <w:rsid w:val="007D61D5"/>
    <w:rsid w:val="007D706E"/>
    <w:rsid w:val="007D7990"/>
    <w:rsid w:val="007D7BDA"/>
    <w:rsid w:val="007E0FC9"/>
    <w:rsid w:val="007E10D7"/>
    <w:rsid w:val="007E187F"/>
    <w:rsid w:val="007E1E1B"/>
    <w:rsid w:val="007E1F4E"/>
    <w:rsid w:val="007E2670"/>
    <w:rsid w:val="007E2D84"/>
    <w:rsid w:val="007E35D9"/>
    <w:rsid w:val="007E386C"/>
    <w:rsid w:val="007E386F"/>
    <w:rsid w:val="007E48EC"/>
    <w:rsid w:val="007E4939"/>
    <w:rsid w:val="007E4954"/>
    <w:rsid w:val="007E505D"/>
    <w:rsid w:val="007E5A10"/>
    <w:rsid w:val="007E5DA1"/>
    <w:rsid w:val="007E63C8"/>
    <w:rsid w:val="007E6C6F"/>
    <w:rsid w:val="007E70C4"/>
    <w:rsid w:val="007E7832"/>
    <w:rsid w:val="007F0401"/>
    <w:rsid w:val="007F1207"/>
    <w:rsid w:val="007F1473"/>
    <w:rsid w:val="007F1C69"/>
    <w:rsid w:val="007F20E9"/>
    <w:rsid w:val="007F25B0"/>
    <w:rsid w:val="007F3200"/>
    <w:rsid w:val="007F34CE"/>
    <w:rsid w:val="007F39D8"/>
    <w:rsid w:val="007F4B61"/>
    <w:rsid w:val="007F5BF3"/>
    <w:rsid w:val="007F61FA"/>
    <w:rsid w:val="007F6F5F"/>
    <w:rsid w:val="007F76E2"/>
    <w:rsid w:val="008005CA"/>
    <w:rsid w:val="00800741"/>
    <w:rsid w:val="00800E19"/>
    <w:rsid w:val="0080125F"/>
    <w:rsid w:val="0080135C"/>
    <w:rsid w:val="00801631"/>
    <w:rsid w:val="00801996"/>
    <w:rsid w:val="0080266F"/>
    <w:rsid w:val="0080292F"/>
    <w:rsid w:val="00802BC0"/>
    <w:rsid w:val="00803986"/>
    <w:rsid w:val="00803E26"/>
    <w:rsid w:val="00804A2B"/>
    <w:rsid w:val="008052AA"/>
    <w:rsid w:val="008057DA"/>
    <w:rsid w:val="00805D42"/>
    <w:rsid w:val="008062DB"/>
    <w:rsid w:val="0080640A"/>
    <w:rsid w:val="008075B6"/>
    <w:rsid w:val="00811319"/>
    <w:rsid w:val="00811C00"/>
    <w:rsid w:val="00811C27"/>
    <w:rsid w:val="00812272"/>
    <w:rsid w:val="008123C9"/>
    <w:rsid w:val="00812BBF"/>
    <w:rsid w:val="00812CE7"/>
    <w:rsid w:val="00812CEA"/>
    <w:rsid w:val="00812E6C"/>
    <w:rsid w:val="00813311"/>
    <w:rsid w:val="00813DF7"/>
    <w:rsid w:val="0081441D"/>
    <w:rsid w:val="008144D1"/>
    <w:rsid w:val="00814CCE"/>
    <w:rsid w:val="00814DED"/>
    <w:rsid w:val="00815B41"/>
    <w:rsid w:val="0081616D"/>
    <w:rsid w:val="008165F7"/>
    <w:rsid w:val="00816619"/>
    <w:rsid w:val="00816995"/>
    <w:rsid w:val="00816C23"/>
    <w:rsid w:val="008176E0"/>
    <w:rsid w:val="00817885"/>
    <w:rsid w:val="00817DE2"/>
    <w:rsid w:val="00820187"/>
    <w:rsid w:val="008215D0"/>
    <w:rsid w:val="00821F91"/>
    <w:rsid w:val="00821FDE"/>
    <w:rsid w:val="00822466"/>
    <w:rsid w:val="00822626"/>
    <w:rsid w:val="00822D2A"/>
    <w:rsid w:val="008232D1"/>
    <w:rsid w:val="0082362A"/>
    <w:rsid w:val="0082397B"/>
    <w:rsid w:val="008251BA"/>
    <w:rsid w:val="00825650"/>
    <w:rsid w:val="00826427"/>
    <w:rsid w:val="0082666C"/>
    <w:rsid w:val="00827893"/>
    <w:rsid w:val="00830103"/>
    <w:rsid w:val="00830703"/>
    <w:rsid w:val="00831155"/>
    <w:rsid w:val="00831346"/>
    <w:rsid w:val="00831351"/>
    <w:rsid w:val="00831C85"/>
    <w:rsid w:val="00832948"/>
    <w:rsid w:val="008332C7"/>
    <w:rsid w:val="008338C5"/>
    <w:rsid w:val="00833932"/>
    <w:rsid w:val="008346DC"/>
    <w:rsid w:val="00834A2E"/>
    <w:rsid w:val="00834DDD"/>
    <w:rsid w:val="00834E0C"/>
    <w:rsid w:val="008352F0"/>
    <w:rsid w:val="00835C2D"/>
    <w:rsid w:val="00835E8F"/>
    <w:rsid w:val="00837737"/>
    <w:rsid w:val="00837844"/>
    <w:rsid w:val="00837BAD"/>
    <w:rsid w:val="00837C8C"/>
    <w:rsid w:val="008402AF"/>
    <w:rsid w:val="008404EB"/>
    <w:rsid w:val="008405B9"/>
    <w:rsid w:val="008409ED"/>
    <w:rsid w:val="00840F11"/>
    <w:rsid w:val="008416F8"/>
    <w:rsid w:val="008418DF"/>
    <w:rsid w:val="0084234F"/>
    <w:rsid w:val="008425DD"/>
    <w:rsid w:val="008427B1"/>
    <w:rsid w:val="00844CF0"/>
    <w:rsid w:val="00844EAE"/>
    <w:rsid w:val="00844FA6"/>
    <w:rsid w:val="008453D2"/>
    <w:rsid w:val="00845F6F"/>
    <w:rsid w:val="00845FBD"/>
    <w:rsid w:val="00847C7A"/>
    <w:rsid w:val="00847DA3"/>
    <w:rsid w:val="008512DB"/>
    <w:rsid w:val="008514A9"/>
    <w:rsid w:val="008516C5"/>
    <w:rsid w:val="00851B46"/>
    <w:rsid w:val="00852A7A"/>
    <w:rsid w:val="00853227"/>
    <w:rsid w:val="00853477"/>
    <w:rsid w:val="008539FF"/>
    <w:rsid w:val="00853F46"/>
    <w:rsid w:val="0085447A"/>
    <w:rsid w:val="00855401"/>
    <w:rsid w:val="00855462"/>
    <w:rsid w:val="00855BEB"/>
    <w:rsid w:val="00855F06"/>
    <w:rsid w:val="00857697"/>
    <w:rsid w:val="008576E4"/>
    <w:rsid w:val="008603C2"/>
    <w:rsid w:val="008607CB"/>
    <w:rsid w:val="0086247E"/>
    <w:rsid w:val="00862994"/>
    <w:rsid w:val="008631A6"/>
    <w:rsid w:val="00863CAC"/>
    <w:rsid w:val="00863D55"/>
    <w:rsid w:val="00863DFE"/>
    <w:rsid w:val="00865865"/>
    <w:rsid w:val="008664D5"/>
    <w:rsid w:val="008670DF"/>
    <w:rsid w:val="008671AC"/>
    <w:rsid w:val="00867258"/>
    <w:rsid w:val="0086734B"/>
    <w:rsid w:val="008703A4"/>
    <w:rsid w:val="008705A5"/>
    <w:rsid w:val="008711E2"/>
    <w:rsid w:val="0087270D"/>
    <w:rsid w:val="00872B0B"/>
    <w:rsid w:val="00872D43"/>
    <w:rsid w:val="00872EB6"/>
    <w:rsid w:val="00873383"/>
    <w:rsid w:val="008733A8"/>
    <w:rsid w:val="00874013"/>
    <w:rsid w:val="0087406B"/>
    <w:rsid w:val="008742A9"/>
    <w:rsid w:val="008742AE"/>
    <w:rsid w:val="0087444D"/>
    <w:rsid w:val="00875132"/>
    <w:rsid w:val="008752AF"/>
    <w:rsid w:val="00875738"/>
    <w:rsid w:val="00875E4F"/>
    <w:rsid w:val="008763B6"/>
    <w:rsid w:val="0087648B"/>
    <w:rsid w:val="0087668A"/>
    <w:rsid w:val="008774CA"/>
    <w:rsid w:val="00877E26"/>
    <w:rsid w:val="00877FAF"/>
    <w:rsid w:val="00880179"/>
    <w:rsid w:val="00880ADC"/>
    <w:rsid w:val="0088127B"/>
    <w:rsid w:val="008822F7"/>
    <w:rsid w:val="00882329"/>
    <w:rsid w:val="00882711"/>
    <w:rsid w:val="008829A3"/>
    <w:rsid w:val="0088335A"/>
    <w:rsid w:val="0088384E"/>
    <w:rsid w:val="00883A56"/>
    <w:rsid w:val="00883F09"/>
    <w:rsid w:val="00885503"/>
    <w:rsid w:val="00885679"/>
    <w:rsid w:val="00886940"/>
    <w:rsid w:val="00886AD0"/>
    <w:rsid w:val="00887867"/>
    <w:rsid w:val="00890A62"/>
    <w:rsid w:val="00890CEC"/>
    <w:rsid w:val="00890EF7"/>
    <w:rsid w:val="00890FC3"/>
    <w:rsid w:val="00891434"/>
    <w:rsid w:val="00891D84"/>
    <w:rsid w:val="00891EE7"/>
    <w:rsid w:val="00891F3C"/>
    <w:rsid w:val="00892334"/>
    <w:rsid w:val="00892AC0"/>
    <w:rsid w:val="00892BB1"/>
    <w:rsid w:val="00892D8F"/>
    <w:rsid w:val="008931FC"/>
    <w:rsid w:val="008934BC"/>
    <w:rsid w:val="00893987"/>
    <w:rsid w:val="00893A31"/>
    <w:rsid w:val="00893AE0"/>
    <w:rsid w:val="008945C5"/>
    <w:rsid w:val="00895583"/>
    <w:rsid w:val="008959DA"/>
    <w:rsid w:val="00895C8A"/>
    <w:rsid w:val="00897264"/>
    <w:rsid w:val="008A01BB"/>
    <w:rsid w:val="008A05F0"/>
    <w:rsid w:val="008A0BE6"/>
    <w:rsid w:val="008A0C87"/>
    <w:rsid w:val="008A0DBD"/>
    <w:rsid w:val="008A1102"/>
    <w:rsid w:val="008A15EF"/>
    <w:rsid w:val="008A1A1D"/>
    <w:rsid w:val="008A2962"/>
    <w:rsid w:val="008A2B37"/>
    <w:rsid w:val="008A2C51"/>
    <w:rsid w:val="008A2C8D"/>
    <w:rsid w:val="008A2CE5"/>
    <w:rsid w:val="008A46BD"/>
    <w:rsid w:val="008A5A29"/>
    <w:rsid w:val="008A5F83"/>
    <w:rsid w:val="008B0199"/>
    <w:rsid w:val="008B022E"/>
    <w:rsid w:val="008B0851"/>
    <w:rsid w:val="008B0CD3"/>
    <w:rsid w:val="008B0D62"/>
    <w:rsid w:val="008B1148"/>
    <w:rsid w:val="008B1258"/>
    <w:rsid w:val="008B135F"/>
    <w:rsid w:val="008B1417"/>
    <w:rsid w:val="008B2C85"/>
    <w:rsid w:val="008B2D21"/>
    <w:rsid w:val="008B373A"/>
    <w:rsid w:val="008B3C97"/>
    <w:rsid w:val="008B3CE2"/>
    <w:rsid w:val="008B48F1"/>
    <w:rsid w:val="008B4C3E"/>
    <w:rsid w:val="008B4F41"/>
    <w:rsid w:val="008B58C7"/>
    <w:rsid w:val="008B6105"/>
    <w:rsid w:val="008B7082"/>
    <w:rsid w:val="008B720C"/>
    <w:rsid w:val="008B79D4"/>
    <w:rsid w:val="008C01D9"/>
    <w:rsid w:val="008C123C"/>
    <w:rsid w:val="008C143A"/>
    <w:rsid w:val="008C2631"/>
    <w:rsid w:val="008C31AE"/>
    <w:rsid w:val="008C3DCB"/>
    <w:rsid w:val="008C3EA5"/>
    <w:rsid w:val="008C51B7"/>
    <w:rsid w:val="008C5739"/>
    <w:rsid w:val="008C5ABB"/>
    <w:rsid w:val="008C5D46"/>
    <w:rsid w:val="008C6801"/>
    <w:rsid w:val="008C69A1"/>
    <w:rsid w:val="008C6D50"/>
    <w:rsid w:val="008C6E1A"/>
    <w:rsid w:val="008C765B"/>
    <w:rsid w:val="008D175A"/>
    <w:rsid w:val="008D1FA7"/>
    <w:rsid w:val="008D27F7"/>
    <w:rsid w:val="008D318D"/>
    <w:rsid w:val="008D4570"/>
    <w:rsid w:val="008D53FC"/>
    <w:rsid w:val="008D61C8"/>
    <w:rsid w:val="008D651C"/>
    <w:rsid w:val="008D7443"/>
    <w:rsid w:val="008E0DE5"/>
    <w:rsid w:val="008E1E54"/>
    <w:rsid w:val="008E312E"/>
    <w:rsid w:val="008E34A7"/>
    <w:rsid w:val="008E4A60"/>
    <w:rsid w:val="008E4FD2"/>
    <w:rsid w:val="008E5B5E"/>
    <w:rsid w:val="008E676E"/>
    <w:rsid w:val="008E679C"/>
    <w:rsid w:val="008E6A72"/>
    <w:rsid w:val="008E6A77"/>
    <w:rsid w:val="008E6B01"/>
    <w:rsid w:val="008E6DA9"/>
    <w:rsid w:val="008E73B8"/>
    <w:rsid w:val="008F0467"/>
    <w:rsid w:val="008F05B7"/>
    <w:rsid w:val="008F0E1E"/>
    <w:rsid w:val="008F1853"/>
    <w:rsid w:val="008F1BDD"/>
    <w:rsid w:val="008F2AC2"/>
    <w:rsid w:val="008F2D29"/>
    <w:rsid w:val="008F2D92"/>
    <w:rsid w:val="008F3991"/>
    <w:rsid w:val="008F3B97"/>
    <w:rsid w:val="008F46AE"/>
    <w:rsid w:val="008F526F"/>
    <w:rsid w:val="008F5388"/>
    <w:rsid w:val="008F5503"/>
    <w:rsid w:val="008F5F65"/>
    <w:rsid w:val="008F63F9"/>
    <w:rsid w:val="008F68D5"/>
    <w:rsid w:val="008F75F1"/>
    <w:rsid w:val="008F75FF"/>
    <w:rsid w:val="008F77A9"/>
    <w:rsid w:val="008F7BC3"/>
    <w:rsid w:val="00901163"/>
    <w:rsid w:val="00901295"/>
    <w:rsid w:val="009018D6"/>
    <w:rsid w:val="00901B7B"/>
    <w:rsid w:val="00901D27"/>
    <w:rsid w:val="00903CA6"/>
    <w:rsid w:val="00904209"/>
    <w:rsid w:val="00904642"/>
    <w:rsid w:val="009047C0"/>
    <w:rsid w:val="00905273"/>
    <w:rsid w:val="00906228"/>
    <w:rsid w:val="009064D6"/>
    <w:rsid w:val="00906ED8"/>
    <w:rsid w:val="009073DF"/>
    <w:rsid w:val="00907BE4"/>
    <w:rsid w:val="00907E6D"/>
    <w:rsid w:val="00911C19"/>
    <w:rsid w:val="00912092"/>
    <w:rsid w:val="00912880"/>
    <w:rsid w:val="00912B5F"/>
    <w:rsid w:val="00912E06"/>
    <w:rsid w:val="0091369F"/>
    <w:rsid w:val="009137D9"/>
    <w:rsid w:val="009142E9"/>
    <w:rsid w:val="0091469D"/>
    <w:rsid w:val="00914BFC"/>
    <w:rsid w:val="00915A9D"/>
    <w:rsid w:val="009165C0"/>
    <w:rsid w:val="00916658"/>
    <w:rsid w:val="00916DA9"/>
    <w:rsid w:val="00917FD9"/>
    <w:rsid w:val="0092018C"/>
    <w:rsid w:val="00920686"/>
    <w:rsid w:val="009206A7"/>
    <w:rsid w:val="00920A82"/>
    <w:rsid w:val="00920F2B"/>
    <w:rsid w:val="00921E10"/>
    <w:rsid w:val="009240FB"/>
    <w:rsid w:val="00924E4C"/>
    <w:rsid w:val="00925D24"/>
    <w:rsid w:val="00926BF6"/>
    <w:rsid w:val="00930F6D"/>
    <w:rsid w:val="009317B0"/>
    <w:rsid w:val="00931FAC"/>
    <w:rsid w:val="00932B1B"/>
    <w:rsid w:val="009333F9"/>
    <w:rsid w:val="00933935"/>
    <w:rsid w:val="0093393F"/>
    <w:rsid w:val="00933959"/>
    <w:rsid w:val="00933B09"/>
    <w:rsid w:val="00933FCC"/>
    <w:rsid w:val="00934224"/>
    <w:rsid w:val="00934EC1"/>
    <w:rsid w:val="00934FEE"/>
    <w:rsid w:val="0093586E"/>
    <w:rsid w:val="00935B88"/>
    <w:rsid w:val="009360FB"/>
    <w:rsid w:val="00936152"/>
    <w:rsid w:val="00940705"/>
    <w:rsid w:val="0094073E"/>
    <w:rsid w:val="00940F96"/>
    <w:rsid w:val="00941087"/>
    <w:rsid w:val="00941099"/>
    <w:rsid w:val="00941433"/>
    <w:rsid w:val="00941646"/>
    <w:rsid w:val="00941808"/>
    <w:rsid w:val="00941F80"/>
    <w:rsid w:val="00942C69"/>
    <w:rsid w:val="00942CA3"/>
    <w:rsid w:val="00942E13"/>
    <w:rsid w:val="00942ECA"/>
    <w:rsid w:val="00943279"/>
    <w:rsid w:val="009435CF"/>
    <w:rsid w:val="009438F7"/>
    <w:rsid w:val="00943ABF"/>
    <w:rsid w:val="00943CD0"/>
    <w:rsid w:val="00943EA8"/>
    <w:rsid w:val="00944B95"/>
    <w:rsid w:val="00944DFA"/>
    <w:rsid w:val="0094517D"/>
    <w:rsid w:val="0094567F"/>
    <w:rsid w:val="00945A50"/>
    <w:rsid w:val="009465AC"/>
    <w:rsid w:val="0094675C"/>
    <w:rsid w:val="009468D3"/>
    <w:rsid w:val="009471FE"/>
    <w:rsid w:val="00947493"/>
    <w:rsid w:val="009507F5"/>
    <w:rsid w:val="00950E12"/>
    <w:rsid w:val="00950F21"/>
    <w:rsid w:val="00951304"/>
    <w:rsid w:val="00951DFC"/>
    <w:rsid w:val="00953722"/>
    <w:rsid w:val="0095447D"/>
    <w:rsid w:val="00954510"/>
    <w:rsid w:val="00955137"/>
    <w:rsid w:val="009551C2"/>
    <w:rsid w:val="009555DD"/>
    <w:rsid w:val="009558D2"/>
    <w:rsid w:val="00955AE0"/>
    <w:rsid w:val="0095671E"/>
    <w:rsid w:val="00956823"/>
    <w:rsid w:val="00956FD5"/>
    <w:rsid w:val="0095788F"/>
    <w:rsid w:val="00957BBE"/>
    <w:rsid w:val="00957D8A"/>
    <w:rsid w:val="009601E1"/>
    <w:rsid w:val="00960FDA"/>
    <w:rsid w:val="00961B69"/>
    <w:rsid w:val="00961FD1"/>
    <w:rsid w:val="009621D5"/>
    <w:rsid w:val="00962664"/>
    <w:rsid w:val="00962A50"/>
    <w:rsid w:val="00962F30"/>
    <w:rsid w:val="009645E1"/>
    <w:rsid w:val="00964ACD"/>
    <w:rsid w:val="00964B2F"/>
    <w:rsid w:val="00964B6C"/>
    <w:rsid w:val="00965042"/>
    <w:rsid w:val="00966BB6"/>
    <w:rsid w:val="009670E1"/>
    <w:rsid w:val="00967144"/>
    <w:rsid w:val="00967D31"/>
    <w:rsid w:val="0097061A"/>
    <w:rsid w:val="00970B50"/>
    <w:rsid w:val="0097110F"/>
    <w:rsid w:val="00971721"/>
    <w:rsid w:val="009718DB"/>
    <w:rsid w:val="009730A6"/>
    <w:rsid w:val="0097338A"/>
    <w:rsid w:val="00973E8B"/>
    <w:rsid w:val="00974A2E"/>
    <w:rsid w:val="00974D13"/>
    <w:rsid w:val="00975D3B"/>
    <w:rsid w:val="00976968"/>
    <w:rsid w:val="00976CFD"/>
    <w:rsid w:val="00976F6A"/>
    <w:rsid w:val="009772AC"/>
    <w:rsid w:val="00977423"/>
    <w:rsid w:val="009779CB"/>
    <w:rsid w:val="0098060E"/>
    <w:rsid w:val="00980DCD"/>
    <w:rsid w:val="0098194A"/>
    <w:rsid w:val="00982BA0"/>
    <w:rsid w:val="00983233"/>
    <w:rsid w:val="00984459"/>
    <w:rsid w:val="00984934"/>
    <w:rsid w:val="00985F22"/>
    <w:rsid w:val="00986277"/>
    <w:rsid w:val="0098649A"/>
    <w:rsid w:val="0098689E"/>
    <w:rsid w:val="00986CDA"/>
    <w:rsid w:val="0098740E"/>
    <w:rsid w:val="0098758C"/>
    <w:rsid w:val="00987BE4"/>
    <w:rsid w:val="009907C6"/>
    <w:rsid w:val="00990E8B"/>
    <w:rsid w:val="00990F16"/>
    <w:rsid w:val="0099102C"/>
    <w:rsid w:val="00992122"/>
    <w:rsid w:val="0099360B"/>
    <w:rsid w:val="00993D05"/>
    <w:rsid w:val="00995208"/>
    <w:rsid w:val="00995550"/>
    <w:rsid w:val="00996150"/>
    <w:rsid w:val="009964A3"/>
    <w:rsid w:val="009967CC"/>
    <w:rsid w:val="00996812"/>
    <w:rsid w:val="0099738A"/>
    <w:rsid w:val="009977B0"/>
    <w:rsid w:val="009A06D1"/>
    <w:rsid w:val="009A0DC5"/>
    <w:rsid w:val="009A0E82"/>
    <w:rsid w:val="009A109A"/>
    <w:rsid w:val="009A10FE"/>
    <w:rsid w:val="009A2BA5"/>
    <w:rsid w:val="009A2F20"/>
    <w:rsid w:val="009A2FDA"/>
    <w:rsid w:val="009A3480"/>
    <w:rsid w:val="009A36A8"/>
    <w:rsid w:val="009A40E0"/>
    <w:rsid w:val="009A4CCF"/>
    <w:rsid w:val="009A5202"/>
    <w:rsid w:val="009A57B2"/>
    <w:rsid w:val="009A5B9C"/>
    <w:rsid w:val="009A61F1"/>
    <w:rsid w:val="009A66FF"/>
    <w:rsid w:val="009A6B80"/>
    <w:rsid w:val="009A7F0C"/>
    <w:rsid w:val="009B0393"/>
    <w:rsid w:val="009B07D4"/>
    <w:rsid w:val="009B0809"/>
    <w:rsid w:val="009B0F89"/>
    <w:rsid w:val="009B1544"/>
    <w:rsid w:val="009B1BE3"/>
    <w:rsid w:val="009B209A"/>
    <w:rsid w:val="009B2E2B"/>
    <w:rsid w:val="009B2E42"/>
    <w:rsid w:val="009B2FDE"/>
    <w:rsid w:val="009B3A53"/>
    <w:rsid w:val="009B41AB"/>
    <w:rsid w:val="009B43C6"/>
    <w:rsid w:val="009B464E"/>
    <w:rsid w:val="009B4706"/>
    <w:rsid w:val="009B4B0B"/>
    <w:rsid w:val="009B5112"/>
    <w:rsid w:val="009B57B0"/>
    <w:rsid w:val="009B5BEF"/>
    <w:rsid w:val="009B66BD"/>
    <w:rsid w:val="009B70F2"/>
    <w:rsid w:val="009B7264"/>
    <w:rsid w:val="009B7E38"/>
    <w:rsid w:val="009C0108"/>
    <w:rsid w:val="009C0F67"/>
    <w:rsid w:val="009C11D6"/>
    <w:rsid w:val="009C1926"/>
    <w:rsid w:val="009C24FE"/>
    <w:rsid w:val="009C2F31"/>
    <w:rsid w:val="009C2F85"/>
    <w:rsid w:val="009C4922"/>
    <w:rsid w:val="009C57C9"/>
    <w:rsid w:val="009C6674"/>
    <w:rsid w:val="009C6C71"/>
    <w:rsid w:val="009C747F"/>
    <w:rsid w:val="009C760A"/>
    <w:rsid w:val="009C763E"/>
    <w:rsid w:val="009C7742"/>
    <w:rsid w:val="009C7826"/>
    <w:rsid w:val="009C7E1F"/>
    <w:rsid w:val="009D002A"/>
    <w:rsid w:val="009D0337"/>
    <w:rsid w:val="009D0C00"/>
    <w:rsid w:val="009D18BB"/>
    <w:rsid w:val="009D2634"/>
    <w:rsid w:val="009D2E4C"/>
    <w:rsid w:val="009D2E8C"/>
    <w:rsid w:val="009D3DB7"/>
    <w:rsid w:val="009D5041"/>
    <w:rsid w:val="009D5173"/>
    <w:rsid w:val="009D6BB7"/>
    <w:rsid w:val="009D72B6"/>
    <w:rsid w:val="009D76B4"/>
    <w:rsid w:val="009D76DA"/>
    <w:rsid w:val="009E0979"/>
    <w:rsid w:val="009E192E"/>
    <w:rsid w:val="009E1E9A"/>
    <w:rsid w:val="009E25B0"/>
    <w:rsid w:val="009E2DB6"/>
    <w:rsid w:val="009E32F0"/>
    <w:rsid w:val="009E5325"/>
    <w:rsid w:val="009E5D98"/>
    <w:rsid w:val="009E5EAB"/>
    <w:rsid w:val="009E5FC2"/>
    <w:rsid w:val="009E67CC"/>
    <w:rsid w:val="009E6AAF"/>
    <w:rsid w:val="009E6BB6"/>
    <w:rsid w:val="009E7898"/>
    <w:rsid w:val="009F03CC"/>
    <w:rsid w:val="009F051E"/>
    <w:rsid w:val="009F077C"/>
    <w:rsid w:val="009F0A87"/>
    <w:rsid w:val="009F15E0"/>
    <w:rsid w:val="009F38CC"/>
    <w:rsid w:val="009F3BA6"/>
    <w:rsid w:val="009F4653"/>
    <w:rsid w:val="009F46B4"/>
    <w:rsid w:val="009F571A"/>
    <w:rsid w:val="009F632D"/>
    <w:rsid w:val="009F657B"/>
    <w:rsid w:val="009F69B7"/>
    <w:rsid w:val="009F6CD5"/>
    <w:rsid w:val="009F7029"/>
    <w:rsid w:val="009F7360"/>
    <w:rsid w:val="009F7F09"/>
    <w:rsid w:val="009F7F2A"/>
    <w:rsid w:val="00A012EB"/>
    <w:rsid w:val="00A01567"/>
    <w:rsid w:val="00A01D06"/>
    <w:rsid w:val="00A0251B"/>
    <w:rsid w:val="00A0275F"/>
    <w:rsid w:val="00A02B6A"/>
    <w:rsid w:val="00A02C8D"/>
    <w:rsid w:val="00A02D35"/>
    <w:rsid w:val="00A02D53"/>
    <w:rsid w:val="00A02F37"/>
    <w:rsid w:val="00A03068"/>
    <w:rsid w:val="00A03444"/>
    <w:rsid w:val="00A03884"/>
    <w:rsid w:val="00A0429D"/>
    <w:rsid w:val="00A04528"/>
    <w:rsid w:val="00A046D6"/>
    <w:rsid w:val="00A04C78"/>
    <w:rsid w:val="00A057E1"/>
    <w:rsid w:val="00A05F9C"/>
    <w:rsid w:val="00A06486"/>
    <w:rsid w:val="00A0652A"/>
    <w:rsid w:val="00A06D4A"/>
    <w:rsid w:val="00A07189"/>
    <w:rsid w:val="00A07782"/>
    <w:rsid w:val="00A07A34"/>
    <w:rsid w:val="00A07AAC"/>
    <w:rsid w:val="00A108A8"/>
    <w:rsid w:val="00A10A40"/>
    <w:rsid w:val="00A11589"/>
    <w:rsid w:val="00A11926"/>
    <w:rsid w:val="00A11DA6"/>
    <w:rsid w:val="00A12019"/>
    <w:rsid w:val="00A129EC"/>
    <w:rsid w:val="00A13026"/>
    <w:rsid w:val="00A13890"/>
    <w:rsid w:val="00A13FEF"/>
    <w:rsid w:val="00A143F5"/>
    <w:rsid w:val="00A14AE9"/>
    <w:rsid w:val="00A15376"/>
    <w:rsid w:val="00A15642"/>
    <w:rsid w:val="00A15D90"/>
    <w:rsid w:val="00A162D7"/>
    <w:rsid w:val="00A16A2A"/>
    <w:rsid w:val="00A20E8A"/>
    <w:rsid w:val="00A212FE"/>
    <w:rsid w:val="00A213B8"/>
    <w:rsid w:val="00A21A2B"/>
    <w:rsid w:val="00A22071"/>
    <w:rsid w:val="00A22869"/>
    <w:rsid w:val="00A2353B"/>
    <w:rsid w:val="00A23791"/>
    <w:rsid w:val="00A244CC"/>
    <w:rsid w:val="00A24A96"/>
    <w:rsid w:val="00A25515"/>
    <w:rsid w:val="00A25552"/>
    <w:rsid w:val="00A2599D"/>
    <w:rsid w:val="00A25B8E"/>
    <w:rsid w:val="00A25CB5"/>
    <w:rsid w:val="00A25F38"/>
    <w:rsid w:val="00A26277"/>
    <w:rsid w:val="00A263FB"/>
    <w:rsid w:val="00A265CC"/>
    <w:rsid w:val="00A26708"/>
    <w:rsid w:val="00A27052"/>
    <w:rsid w:val="00A274F9"/>
    <w:rsid w:val="00A2774C"/>
    <w:rsid w:val="00A27C65"/>
    <w:rsid w:val="00A27D90"/>
    <w:rsid w:val="00A3045B"/>
    <w:rsid w:val="00A30F5D"/>
    <w:rsid w:val="00A318B7"/>
    <w:rsid w:val="00A319CE"/>
    <w:rsid w:val="00A32091"/>
    <w:rsid w:val="00A325D7"/>
    <w:rsid w:val="00A3287C"/>
    <w:rsid w:val="00A33650"/>
    <w:rsid w:val="00A33A5F"/>
    <w:rsid w:val="00A33FF0"/>
    <w:rsid w:val="00A34E17"/>
    <w:rsid w:val="00A35642"/>
    <w:rsid w:val="00A35C69"/>
    <w:rsid w:val="00A36A3B"/>
    <w:rsid w:val="00A372AC"/>
    <w:rsid w:val="00A40FEF"/>
    <w:rsid w:val="00A41108"/>
    <w:rsid w:val="00A421DF"/>
    <w:rsid w:val="00A42635"/>
    <w:rsid w:val="00A4305A"/>
    <w:rsid w:val="00A430B5"/>
    <w:rsid w:val="00A4448E"/>
    <w:rsid w:val="00A44621"/>
    <w:rsid w:val="00A44A9B"/>
    <w:rsid w:val="00A45343"/>
    <w:rsid w:val="00A45588"/>
    <w:rsid w:val="00A45FFF"/>
    <w:rsid w:val="00A4610A"/>
    <w:rsid w:val="00A46234"/>
    <w:rsid w:val="00A4630B"/>
    <w:rsid w:val="00A46B0F"/>
    <w:rsid w:val="00A472D6"/>
    <w:rsid w:val="00A47461"/>
    <w:rsid w:val="00A47669"/>
    <w:rsid w:val="00A47B08"/>
    <w:rsid w:val="00A47D78"/>
    <w:rsid w:val="00A50B60"/>
    <w:rsid w:val="00A51D9F"/>
    <w:rsid w:val="00A52837"/>
    <w:rsid w:val="00A52ADF"/>
    <w:rsid w:val="00A53BCB"/>
    <w:rsid w:val="00A5400C"/>
    <w:rsid w:val="00A54168"/>
    <w:rsid w:val="00A54804"/>
    <w:rsid w:val="00A54FDC"/>
    <w:rsid w:val="00A552B9"/>
    <w:rsid w:val="00A5653E"/>
    <w:rsid w:val="00A568CA"/>
    <w:rsid w:val="00A56997"/>
    <w:rsid w:val="00A56F86"/>
    <w:rsid w:val="00A5758C"/>
    <w:rsid w:val="00A577F5"/>
    <w:rsid w:val="00A57C27"/>
    <w:rsid w:val="00A60182"/>
    <w:rsid w:val="00A6040E"/>
    <w:rsid w:val="00A60A5F"/>
    <w:rsid w:val="00A60F3D"/>
    <w:rsid w:val="00A6322F"/>
    <w:rsid w:val="00A632BE"/>
    <w:rsid w:val="00A63AE8"/>
    <w:rsid w:val="00A6450E"/>
    <w:rsid w:val="00A6492C"/>
    <w:rsid w:val="00A64A26"/>
    <w:rsid w:val="00A64C96"/>
    <w:rsid w:val="00A64F08"/>
    <w:rsid w:val="00A65CBF"/>
    <w:rsid w:val="00A668BE"/>
    <w:rsid w:val="00A671EC"/>
    <w:rsid w:val="00A67DFD"/>
    <w:rsid w:val="00A70C80"/>
    <w:rsid w:val="00A71431"/>
    <w:rsid w:val="00A72269"/>
    <w:rsid w:val="00A726DE"/>
    <w:rsid w:val="00A7290F"/>
    <w:rsid w:val="00A72C31"/>
    <w:rsid w:val="00A7348D"/>
    <w:rsid w:val="00A73F55"/>
    <w:rsid w:val="00A74AB7"/>
    <w:rsid w:val="00A75C13"/>
    <w:rsid w:val="00A76050"/>
    <w:rsid w:val="00A7610E"/>
    <w:rsid w:val="00A762C1"/>
    <w:rsid w:val="00A768E0"/>
    <w:rsid w:val="00A76D15"/>
    <w:rsid w:val="00A774F4"/>
    <w:rsid w:val="00A80192"/>
    <w:rsid w:val="00A805E7"/>
    <w:rsid w:val="00A80933"/>
    <w:rsid w:val="00A80D0C"/>
    <w:rsid w:val="00A80D2F"/>
    <w:rsid w:val="00A810E6"/>
    <w:rsid w:val="00A81B18"/>
    <w:rsid w:val="00A81CFF"/>
    <w:rsid w:val="00A81DEF"/>
    <w:rsid w:val="00A821BA"/>
    <w:rsid w:val="00A82285"/>
    <w:rsid w:val="00A822AD"/>
    <w:rsid w:val="00A82563"/>
    <w:rsid w:val="00A82D03"/>
    <w:rsid w:val="00A82D9C"/>
    <w:rsid w:val="00A82F8A"/>
    <w:rsid w:val="00A8348F"/>
    <w:rsid w:val="00A834FD"/>
    <w:rsid w:val="00A83694"/>
    <w:rsid w:val="00A8388E"/>
    <w:rsid w:val="00A83D2A"/>
    <w:rsid w:val="00A83E97"/>
    <w:rsid w:val="00A84657"/>
    <w:rsid w:val="00A84DE6"/>
    <w:rsid w:val="00A86BA0"/>
    <w:rsid w:val="00A86D96"/>
    <w:rsid w:val="00A86EC5"/>
    <w:rsid w:val="00A87135"/>
    <w:rsid w:val="00A873AF"/>
    <w:rsid w:val="00A909D3"/>
    <w:rsid w:val="00A913D4"/>
    <w:rsid w:val="00A916DC"/>
    <w:rsid w:val="00A91D80"/>
    <w:rsid w:val="00A92210"/>
    <w:rsid w:val="00A92CE5"/>
    <w:rsid w:val="00A939FA"/>
    <w:rsid w:val="00A93F17"/>
    <w:rsid w:val="00A9536C"/>
    <w:rsid w:val="00A955D4"/>
    <w:rsid w:val="00A95677"/>
    <w:rsid w:val="00A96553"/>
    <w:rsid w:val="00A97ACB"/>
    <w:rsid w:val="00A97DA8"/>
    <w:rsid w:val="00AA000C"/>
    <w:rsid w:val="00AA0A1B"/>
    <w:rsid w:val="00AA11B6"/>
    <w:rsid w:val="00AA12BC"/>
    <w:rsid w:val="00AA12C2"/>
    <w:rsid w:val="00AA1673"/>
    <w:rsid w:val="00AA1AF5"/>
    <w:rsid w:val="00AA1EA0"/>
    <w:rsid w:val="00AA22D0"/>
    <w:rsid w:val="00AA274E"/>
    <w:rsid w:val="00AA2F4F"/>
    <w:rsid w:val="00AA3514"/>
    <w:rsid w:val="00AA35BD"/>
    <w:rsid w:val="00AA3CA5"/>
    <w:rsid w:val="00AA4147"/>
    <w:rsid w:val="00AA5393"/>
    <w:rsid w:val="00AA5527"/>
    <w:rsid w:val="00AA5643"/>
    <w:rsid w:val="00AA5FD8"/>
    <w:rsid w:val="00AA64CA"/>
    <w:rsid w:val="00AA66A4"/>
    <w:rsid w:val="00AA6733"/>
    <w:rsid w:val="00AA68DD"/>
    <w:rsid w:val="00AA6C16"/>
    <w:rsid w:val="00AA71E9"/>
    <w:rsid w:val="00AA7606"/>
    <w:rsid w:val="00AA7676"/>
    <w:rsid w:val="00AB0D28"/>
    <w:rsid w:val="00AB1501"/>
    <w:rsid w:val="00AB2316"/>
    <w:rsid w:val="00AB24C2"/>
    <w:rsid w:val="00AB2819"/>
    <w:rsid w:val="00AB291C"/>
    <w:rsid w:val="00AB2E69"/>
    <w:rsid w:val="00AB2E6D"/>
    <w:rsid w:val="00AB3242"/>
    <w:rsid w:val="00AB3267"/>
    <w:rsid w:val="00AB4185"/>
    <w:rsid w:val="00AB42DF"/>
    <w:rsid w:val="00AB48B8"/>
    <w:rsid w:val="00AB48F9"/>
    <w:rsid w:val="00AB49B8"/>
    <w:rsid w:val="00AB4FF6"/>
    <w:rsid w:val="00AB5337"/>
    <w:rsid w:val="00AB593B"/>
    <w:rsid w:val="00AB6157"/>
    <w:rsid w:val="00AB7130"/>
    <w:rsid w:val="00AB7546"/>
    <w:rsid w:val="00AB78E2"/>
    <w:rsid w:val="00AB7954"/>
    <w:rsid w:val="00AB7A76"/>
    <w:rsid w:val="00AB7AC9"/>
    <w:rsid w:val="00AB7EC3"/>
    <w:rsid w:val="00AC0C8C"/>
    <w:rsid w:val="00AC1265"/>
    <w:rsid w:val="00AC15A5"/>
    <w:rsid w:val="00AC1658"/>
    <w:rsid w:val="00AC1A3F"/>
    <w:rsid w:val="00AC23CA"/>
    <w:rsid w:val="00AC29AE"/>
    <w:rsid w:val="00AC2D5C"/>
    <w:rsid w:val="00AC3326"/>
    <w:rsid w:val="00AC35F2"/>
    <w:rsid w:val="00AC41AC"/>
    <w:rsid w:val="00AC45FB"/>
    <w:rsid w:val="00AC490F"/>
    <w:rsid w:val="00AC49B7"/>
    <w:rsid w:val="00AC4C1A"/>
    <w:rsid w:val="00AC5A01"/>
    <w:rsid w:val="00AC5C8E"/>
    <w:rsid w:val="00AC5CA4"/>
    <w:rsid w:val="00AC6116"/>
    <w:rsid w:val="00AC6229"/>
    <w:rsid w:val="00AC6B15"/>
    <w:rsid w:val="00AC6DFC"/>
    <w:rsid w:val="00AC7E17"/>
    <w:rsid w:val="00AD05B1"/>
    <w:rsid w:val="00AD138A"/>
    <w:rsid w:val="00AD176E"/>
    <w:rsid w:val="00AD1DA0"/>
    <w:rsid w:val="00AD3242"/>
    <w:rsid w:val="00AD3538"/>
    <w:rsid w:val="00AD40F7"/>
    <w:rsid w:val="00AD43F1"/>
    <w:rsid w:val="00AD4580"/>
    <w:rsid w:val="00AD4EA5"/>
    <w:rsid w:val="00AD502B"/>
    <w:rsid w:val="00AD5B9A"/>
    <w:rsid w:val="00AD600F"/>
    <w:rsid w:val="00AD6246"/>
    <w:rsid w:val="00AD6ECF"/>
    <w:rsid w:val="00AD7484"/>
    <w:rsid w:val="00AD7C65"/>
    <w:rsid w:val="00AD7FC4"/>
    <w:rsid w:val="00AE00F1"/>
    <w:rsid w:val="00AE051C"/>
    <w:rsid w:val="00AE1CA2"/>
    <w:rsid w:val="00AE267D"/>
    <w:rsid w:val="00AE2A66"/>
    <w:rsid w:val="00AE3A2E"/>
    <w:rsid w:val="00AE3CDB"/>
    <w:rsid w:val="00AE4D18"/>
    <w:rsid w:val="00AE5321"/>
    <w:rsid w:val="00AE74D9"/>
    <w:rsid w:val="00AE7935"/>
    <w:rsid w:val="00AF0C5E"/>
    <w:rsid w:val="00AF0FC7"/>
    <w:rsid w:val="00AF142F"/>
    <w:rsid w:val="00AF233C"/>
    <w:rsid w:val="00AF2F72"/>
    <w:rsid w:val="00AF3A3C"/>
    <w:rsid w:val="00AF4464"/>
    <w:rsid w:val="00AF44FD"/>
    <w:rsid w:val="00AF4879"/>
    <w:rsid w:val="00AF499D"/>
    <w:rsid w:val="00AF6042"/>
    <w:rsid w:val="00AF6054"/>
    <w:rsid w:val="00AF63CF"/>
    <w:rsid w:val="00AF63F8"/>
    <w:rsid w:val="00AF7239"/>
    <w:rsid w:val="00AF736C"/>
    <w:rsid w:val="00AF736E"/>
    <w:rsid w:val="00AF7BA3"/>
    <w:rsid w:val="00B0036D"/>
    <w:rsid w:val="00B009D4"/>
    <w:rsid w:val="00B012A7"/>
    <w:rsid w:val="00B012ED"/>
    <w:rsid w:val="00B016E1"/>
    <w:rsid w:val="00B01CF9"/>
    <w:rsid w:val="00B0277B"/>
    <w:rsid w:val="00B02BC7"/>
    <w:rsid w:val="00B038BF"/>
    <w:rsid w:val="00B03D67"/>
    <w:rsid w:val="00B04585"/>
    <w:rsid w:val="00B046D7"/>
    <w:rsid w:val="00B048DC"/>
    <w:rsid w:val="00B04BF4"/>
    <w:rsid w:val="00B04ED4"/>
    <w:rsid w:val="00B05FDE"/>
    <w:rsid w:val="00B06557"/>
    <w:rsid w:val="00B06E89"/>
    <w:rsid w:val="00B07266"/>
    <w:rsid w:val="00B078BB"/>
    <w:rsid w:val="00B07FDC"/>
    <w:rsid w:val="00B10448"/>
    <w:rsid w:val="00B10AA8"/>
    <w:rsid w:val="00B10B12"/>
    <w:rsid w:val="00B115A6"/>
    <w:rsid w:val="00B12688"/>
    <w:rsid w:val="00B12839"/>
    <w:rsid w:val="00B135AB"/>
    <w:rsid w:val="00B13E31"/>
    <w:rsid w:val="00B1457A"/>
    <w:rsid w:val="00B145EC"/>
    <w:rsid w:val="00B150A9"/>
    <w:rsid w:val="00B15796"/>
    <w:rsid w:val="00B15AB4"/>
    <w:rsid w:val="00B162EE"/>
    <w:rsid w:val="00B16A8D"/>
    <w:rsid w:val="00B16CA8"/>
    <w:rsid w:val="00B17B21"/>
    <w:rsid w:val="00B17D2D"/>
    <w:rsid w:val="00B17DE4"/>
    <w:rsid w:val="00B208C1"/>
    <w:rsid w:val="00B209D1"/>
    <w:rsid w:val="00B20E92"/>
    <w:rsid w:val="00B21050"/>
    <w:rsid w:val="00B224E0"/>
    <w:rsid w:val="00B2277C"/>
    <w:rsid w:val="00B22E94"/>
    <w:rsid w:val="00B23F74"/>
    <w:rsid w:val="00B25427"/>
    <w:rsid w:val="00B25E83"/>
    <w:rsid w:val="00B26304"/>
    <w:rsid w:val="00B26531"/>
    <w:rsid w:val="00B26DED"/>
    <w:rsid w:val="00B271DC"/>
    <w:rsid w:val="00B276F3"/>
    <w:rsid w:val="00B306CF"/>
    <w:rsid w:val="00B31102"/>
    <w:rsid w:val="00B31CEE"/>
    <w:rsid w:val="00B321D7"/>
    <w:rsid w:val="00B32257"/>
    <w:rsid w:val="00B328DE"/>
    <w:rsid w:val="00B33AD0"/>
    <w:rsid w:val="00B340D5"/>
    <w:rsid w:val="00B34AA4"/>
    <w:rsid w:val="00B34B74"/>
    <w:rsid w:val="00B35EC2"/>
    <w:rsid w:val="00B3711B"/>
    <w:rsid w:val="00B37BCC"/>
    <w:rsid w:val="00B402F8"/>
    <w:rsid w:val="00B4174D"/>
    <w:rsid w:val="00B42054"/>
    <w:rsid w:val="00B43A68"/>
    <w:rsid w:val="00B43C17"/>
    <w:rsid w:val="00B443A3"/>
    <w:rsid w:val="00B45098"/>
    <w:rsid w:val="00B45756"/>
    <w:rsid w:val="00B45F59"/>
    <w:rsid w:val="00B46062"/>
    <w:rsid w:val="00B46E99"/>
    <w:rsid w:val="00B47A11"/>
    <w:rsid w:val="00B50329"/>
    <w:rsid w:val="00B5174A"/>
    <w:rsid w:val="00B51CCA"/>
    <w:rsid w:val="00B51DC7"/>
    <w:rsid w:val="00B51F57"/>
    <w:rsid w:val="00B5226F"/>
    <w:rsid w:val="00B522AE"/>
    <w:rsid w:val="00B52BB9"/>
    <w:rsid w:val="00B54455"/>
    <w:rsid w:val="00B54D7C"/>
    <w:rsid w:val="00B54E29"/>
    <w:rsid w:val="00B55264"/>
    <w:rsid w:val="00B554B7"/>
    <w:rsid w:val="00B554D5"/>
    <w:rsid w:val="00B55F7A"/>
    <w:rsid w:val="00B56409"/>
    <w:rsid w:val="00B56930"/>
    <w:rsid w:val="00B57057"/>
    <w:rsid w:val="00B602A2"/>
    <w:rsid w:val="00B60647"/>
    <w:rsid w:val="00B60745"/>
    <w:rsid w:val="00B6090F"/>
    <w:rsid w:val="00B6132F"/>
    <w:rsid w:val="00B6137E"/>
    <w:rsid w:val="00B6199A"/>
    <w:rsid w:val="00B61A6A"/>
    <w:rsid w:val="00B6267B"/>
    <w:rsid w:val="00B629B2"/>
    <w:rsid w:val="00B62A3C"/>
    <w:rsid w:val="00B62BBF"/>
    <w:rsid w:val="00B630B9"/>
    <w:rsid w:val="00B6492B"/>
    <w:rsid w:val="00B64B13"/>
    <w:rsid w:val="00B64C6A"/>
    <w:rsid w:val="00B65A87"/>
    <w:rsid w:val="00B65F8E"/>
    <w:rsid w:val="00B664D0"/>
    <w:rsid w:val="00B669B6"/>
    <w:rsid w:val="00B66EDA"/>
    <w:rsid w:val="00B67172"/>
    <w:rsid w:val="00B679FC"/>
    <w:rsid w:val="00B7045D"/>
    <w:rsid w:val="00B709AD"/>
    <w:rsid w:val="00B70C6B"/>
    <w:rsid w:val="00B70CD4"/>
    <w:rsid w:val="00B71A1A"/>
    <w:rsid w:val="00B71CA5"/>
    <w:rsid w:val="00B722F2"/>
    <w:rsid w:val="00B72C46"/>
    <w:rsid w:val="00B72CC8"/>
    <w:rsid w:val="00B7323E"/>
    <w:rsid w:val="00B7384E"/>
    <w:rsid w:val="00B740C8"/>
    <w:rsid w:val="00B7410D"/>
    <w:rsid w:val="00B7415C"/>
    <w:rsid w:val="00B74595"/>
    <w:rsid w:val="00B75385"/>
    <w:rsid w:val="00B75423"/>
    <w:rsid w:val="00B75757"/>
    <w:rsid w:val="00B762A4"/>
    <w:rsid w:val="00B766B7"/>
    <w:rsid w:val="00B768B0"/>
    <w:rsid w:val="00B76EB1"/>
    <w:rsid w:val="00B777FE"/>
    <w:rsid w:val="00B800F4"/>
    <w:rsid w:val="00B8172F"/>
    <w:rsid w:val="00B83FD1"/>
    <w:rsid w:val="00B84215"/>
    <w:rsid w:val="00B85A31"/>
    <w:rsid w:val="00B85A48"/>
    <w:rsid w:val="00B85D6D"/>
    <w:rsid w:val="00B86266"/>
    <w:rsid w:val="00B86691"/>
    <w:rsid w:val="00B868CD"/>
    <w:rsid w:val="00B86D50"/>
    <w:rsid w:val="00B86F79"/>
    <w:rsid w:val="00B87A5A"/>
    <w:rsid w:val="00B87D82"/>
    <w:rsid w:val="00B90594"/>
    <w:rsid w:val="00B90ABD"/>
    <w:rsid w:val="00B90B09"/>
    <w:rsid w:val="00B90F77"/>
    <w:rsid w:val="00B9117F"/>
    <w:rsid w:val="00B91D07"/>
    <w:rsid w:val="00B92222"/>
    <w:rsid w:val="00B92807"/>
    <w:rsid w:val="00B929FF"/>
    <w:rsid w:val="00B92F09"/>
    <w:rsid w:val="00B92FFD"/>
    <w:rsid w:val="00B937D8"/>
    <w:rsid w:val="00B940CB"/>
    <w:rsid w:val="00B944BC"/>
    <w:rsid w:val="00B94FAA"/>
    <w:rsid w:val="00B95392"/>
    <w:rsid w:val="00B95C59"/>
    <w:rsid w:val="00B95D9C"/>
    <w:rsid w:val="00B966CC"/>
    <w:rsid w:val="00BA0A07"/>
    <w:rsid w:val="00BA0ECA"/>
    <w:rsid w:val="00BA1327"/>
    <w:rsid w:val="00BA1669"/>
    <w:rsid w:val="00BA1694"/>
    <w:rsid w:val="00BA16AF"/>
    <w:rsid w:val="00BA1C14"/>
    <w:rsid w:val="00BA2529"/>
    <w:rsid w:val="00BA2A86"/>
    <w:rsid w:val="00BA3714"/>
    <w:rsid w:val="00BA461E"/>
    <w:rsid w:val="00BA46A6"/>
    <w:rsid w:val="00BA4DD9"/>
    <w:rsid w:val="00BA60C8"/>
    <w:rsid w:val="00BA62B0"/>
    <w:rsid w:val="00BA6725"/>
    <w:rsid w:val="00BA69A5"/>
    <w:rsid w:val="00BA6B4A"/>
    <w:rsid w:val="00BA6BBB"/>
    <w:rsid w:val="00BA6C7F"/>
    <w:rsid w:val="00BA779A"/>
    <w:rsid w:val="00BA7B1D"/>
    <w:rsid w:val="00BB00D3"/>
    <w:rsid w:val="00BB045C"/>
    <w:rsid w:val="00BB0803"/>
    <w:rsid w:val="00BB0F8C"/>
    <w:rsid w:val="00BB1CBD"/>
    <w:rsid w:val="00BB1EC8"/>
    <w:rsid w:val="00BB208E"/>
    <w:rsid w:val="00BB23D5"/>
    <w:rsid w:val="00BB2597"/>
    <w:rsid w:val="00BB2F8B"/>
    <w:rsid w:val="00BB3EAC"/>
    <w:rsid w:val="00BB4386"/>
    <w:rsid w:val="00BB4B94"/>
    <w:rsid w:val="00BB552B"/>
    <w:rsid w:val="00BB552C"/>
    <w:rsid w:val="00BB5CDE"/>
    <w:rsid w:val="00BB78D2"/>
    <w:rsid w:val="00BB7902"/>
    <w:rsid w:val="00BB7C89"/>
    <w:rsid w:val="00BB7E15"/>
    <w:rsid w:val="00BC07AC"/>
    <w:rsid w:val="00BC0925"/>
    <w:rsid w:val="00BC0C6B"/>
    <w:rsid w:val="00BC17DF"/>
    <w:rsid w:val="00BC2096"/>
    <w:rsid w:val="00BC2956"/>
    <w:rsid w:val="00BC2CC8"/>
    <w:rsid w:val="00BC3966"/>
    <w:rsid w:val="00BC4298"/>
    <w:rsid w:val="00BC5135"/>
    <w:rsid w:val="00BC54BE"/>
    <w:rsid w:val="00BC5F48"/>
    <w:rsid w:val="00BC60B4"/>
    <w:rsid w:val="00BC61D2"/>
    <w:rsid w:val="00BC6810"/>
    <w:rsid w:val="00BC6CC1"/>
    <w:rsid w:val="00BC6E5D"/>
    <w:rsid w:val="00BC7295"/>
    <w:rsid w:val="00BC7957"/>
    <w:rsid w:val="00BC7AAE"/>
    <w:rsid w:val="00BC7F59"/>
    <w:rsid w:val="00BD0462"/>
    <w:rsid w:val="00BD0542"/>
    <w:rsid w:val="00BD0710"/>
    <w:rsid w:val="00BD0806"/>
    <w:rsid w:val="00BD20B4"/>
    <w:rsid w:val="00BD2904"/>
    <w:rsid w:val="00BD319E"/>
    <w:rsid w:val="00BD34E0"/>
    <w:rsid w:val="00BD3E55"/>
    <w:rsid w:val="00BD3EC8"/>
    <w:rsid w:val="00BD4108"/>
    <w:rsid w:val="00BD44E5"/>
    <w:rsid w:val="00BD45FF"/>
    <w:rsid w:val="00BD5E1C"/>
    <w:rsid w:val="00BD5F15"/>
    <w:rsid w:val="00BD64E5"/>
    <w:rsid w:val="00BD7C61"/>
    <w:rsid w:val="00BE02AA"/>
    <w:rsid w:val="00BE08D2"/>
    <w:rsid w:val="00BE1090"/>
    <w:rsid w:val="00BE1267"/>
    <w:rsid w:val="00BE1FCE"/>
    <w:rsid w:val="00BE206E"/>
    <w:rsid w:val="00BE2B4E"/>
    <w:rsid w:val="00BE357E"/>
    <w:rsid w:val="00BE39DB"/>
    <w:rsid w:val="00BE431E"/>
    <w:rsid w:val="00BE472C"/>
    <w:rsid w:val="00BE4978"/>
    <w:rsid w:val="00BE4E45"/>
    <w:rsid w:val="00BE62C8"/>
    <w:rsid w:val="00BE630E"/>
    <w:rsid w:val="00BE6890"/>
    <w:rsid w:val="00BE6A5D"/>
    <w:rsid w:val="00BE743F"/>
    <w:rsid w:val="00BE78A6"/>
    <w:rsid w:val="00BE7911"/>
    <w:rsid w:val="00BE7ED9"/>
    <w:rsid w:val="00BF02F1"/>
    <w:rsid w:val="00BF039C"/>
    <w:rsid w:val="00BF0770"/>
    <w:rsid w:val="00BF15A8"/>
    <w:rsid w:val="00BF22EE"/>
    <w:rsid w:val="00BF22F5"/>
    <w:rsid w:val="00BF30B3"/>
    <w:rsid w:val="00BF3862"/>
    <w:rsid w:val="00BF3A30"/>
    <w:rsid w:val="00BF427E"/>
    <w:rsid w:val="00BF57CC"/>
    <w:rsid w:val="00BF5C02"/>
    <w:rsid w:val="00BF5CBC"/>
    <w:rsid w:val="00BF6C31"/>
    <w:rsid w:val="00BF6D35"/>
    <w:rsid w:val="00BF704A"/>
    <w:rsid w:val="00BF7085"/>
    <w:rsid w:val="00BF71E4"/>
    <w:rsid w:val="00BF77E7"/>
    <w:rsid w:val="00BF7DD0"/>
    <w:rsid w:val="00C0040E"/>
    <w:rsid w:val="00C01166"/>
    <w:rsid w:val="00C01C80"/>
    <w:rsid w:val="00C020B6"/>
    <w:rsid w:val="00C025E7"/>
    <w:rsid w:val="00C02805"/>
    <w:rsid w:val="00C02CB5"/>
    <w:rsid w:val="00C03090"/>
    <w:rsid w:val="00C03B90"/>
    <w:rsid w:val="00C046B5"/>
    <w:rsid w:val="00C04E94"/>
    <w:rsid w:val="00C05330"/>
    <w:rsid w:val="00C056AF"/>
    <w:rsid w:val="00C05A1E"/>
    <w:rsid w:val="00C06390"/>
    <w:rsid w:val="00C06BAE"/>
    <w:rsid w:val="00C06C09"/>
    <w:rsid w:val="00C1097D"/>
    <w:rsid w:val="00C10A03"/>
    <w:rsid w:val="00C110E4"/>
    <w:rsid w:val="00C1150B"/>
    <w:rsid w:val="00C11556"/>
    <w:rsid w:val="00C11741"/>
    <w:rsid w:val="00C11806"/>
    <w:rsid w:val="00C11926"/>
    <w:rsid w:val="00C120D0"/>
    <w:rsid w:val="00C12115"/>
    <w:rsid w:val="00C12EFE"/>
    <w:rsid w:val="00C13037"/>
    <w:rsid w:val="00C13B3C"/>
    <w:rsid w:val="00C1460F"/>
    <w:rsid w:val="00C14684"/>
    <w:rsid w:val="00C151BA"/>
    <w:rsid w:val="00C151D2"/>
    <w:rsid w:val="00C15520"/>
    <w:rsid w:val="00C16174"/>
    <w:rsid w:val="00C16184"/>
    <w:rsid w:val="00C16632"/>
    <w:rsid w:val="00C16893"/>
    <w:rsid w:val="00C201C2"/>
    <w:rsid w:val="00C20F9F"/>
    <w:rsid w:val="00C21215"/>
    <w:rsid w:val="00C2143C"/>
    <w:rsid w:val="00C222D0"/>
    <w:rsid w:val="00C228FC"/>
    <w:rsid w:val="00C231B8"/>
    <w:rsid w:val="00C23B33"/>
    <w:rsid w:val="00C23DDA"/>
    <w:rsid w:val="00C24589"/>
    <w:rsid w:val="00C24C96"/>
    <w:rsid w:val="00C2606F"/>
    <w:rsid w:val="00C260B5"/>
    <w:rsid w:val="00C26E3F"/>
    <w:rsid w:val="00C30330"/>
    <w:rsid w:val="00C30776"/>
    <w:rsid w:val="00C3091C"/>
    <w:rsid w:val="00C31C21"/>
    <w:rsid w:val="00C31F94"/>
    <w:rsid w:val="00C34433"/>
    <w:rsid w:val="00C36065"/>
    <w:rsid w:val="00C363DE"/>
    <w:rsid w:val="00C368B6"/>
    <w:rsid w:val="00C3794B"/>
    <w:rsid w:val="00C37A33"/>
    <w:rsid w:val="00C37B76"/>
    <w:rsid w:val="00C402EA"/>
    <w:rsid w:val="00C41198"/>
    <w:rsid w:val="00C414A6"/>
    <w:rsid w:val="00C41A03"/>
    <w:rsid w:val="00C41B4E"/>
    <w:rsid w:val="00C42F0E"/>
    <w:rsid w:val="00C42FDF"/>
    <w:rsid w:val="00C431C3"/>
    <w:rsid w:val="00C44907"/>
    <w:rsid w:val="00C44FB6"/>
    <w:rsid w:val="00C44FE6"/>
    <w:rsid w:val="00C45209"/>
    <w:rsid w:val="00C45AA2"/>
    <w:rsid w:val="00C45EA7"/>
    <w:rsid w:val="00C4600C"/>
    <w:rsid w:val="00C46093"/>
    <w:rsid w:val="00C46416"/>
    <w:rsid w:val="00C465DC"/>
    <w:rsid w:val="00C4695A"/>
    <w:rsid w:val="00C47370"/>
    <w:rsid w:val="00C47498"/>
    <w:rsid w:val="00C502C0"/>
    <w:rsid w:val="00C50389"/>
    <w:rsid w:val="00C50BAA"/>
    <w:rsid w:val="00C51093"/>
    <w:rsid w:val="00C51684"/>
    <w:rsid w:val="00C519F5"/>
    <w:rsid w:val="00C51C39"/>
    <w:rsid w:val="00C51C59"/>
    <w:rsid w:val="00C52059"/>
    <w:rsid w:val="00C52375"/>
    <w:rsid w:val="00C52666"/>
    <w:rsid w:val="00C52932"/>
    <w:rsid w:val="00C53177"/>
    <w:rsid w:val="00C532CF"/>
    <w:rsid w:val="00C53E42"/>
    <w:rsid w:val="00C53EA3"/>
    <w:rsid w:val="00C53F3F"/>
    <w:rsid w:val="00C542E0"/>
    <w:rsid w:val="00C56342"/>
    <w:rsid w:val="00C56469"/>
    <w:rsid w:val="00C57256"/>
    <w:rsid w:val="00C575BF"/>
    <w:rsid w:val="00C57F59"/>
    <w:rsid w:val="00C60060"/>
    <w:rsid w:val="00C6014F"/>
    <w:rsid w:val="00C607A1"/>
    <w:rsid w:val="00C60B3E"/>
    <w:rsid w:val="00C60BBE"/>
    <w:rsid w:val="00C623A4"/>
    <w:rsid w:val="00C6328B"/>
    <w:rsid w:val="00C63A23"/>
    <w:rsid w:val="00C64272"/>
    <w:rsid w:val="00C642EC"/>
    <w:rsid w:val="00C64B02"/>
    <w:rsid w:val="00C654CA"/>
    <w:rsid w:val="00C6573A"/>
    <w:rsid w:val="00C65ADE"/>
    <w:rsid w:val="00C65F79"/>
    <w:rsid w:val="00C672EB"/>
    <w:rsid w:val="00C701D1"/>
    <w:rsid w:val="00C70F8B"/>
    <w:rsid w:val="00C716DA"/>
    <w:rsid w:val="00C717F6"/>
    <w:rsid w:val="00C71C30"/>
    <w:rsid w:val="00C725FB"/>
    <w:rsid w:val="00C73698"/>
    <w:rsid w:val="00C7374A"/>
    <w:rsid w:val="00C73CAE"/>
    <w:rsid w:val="00C73DBB"/>
    <w:rsid w:val="00C740EE"/>
    <w:rsid w:val="00C7486B"/>
    <w:rsid w:val="00C748AB"/>
    <w:rsid w:val="00C750AE"/>
    <w:rsid w:val="00C75118"/>
    <w:rsid w:val="00C75C43"/>
    <w:rsid w:val="00C77B20"/>
    <w:rsid w:val="00C801C2"/>
    <w:rsid w:val="00C80358"/>
    <w:rsid w:val="00C80840"/>
    <w:rsid w:val="00C80C72"/>
    <w:rsid w:val="00C81267"/>
    <w:rsid w:val="00C81528"/>
    <w:rsid w:val="00C81ED9"/>
    <w:rsid w:val="00C82071"/>
    <w:rsid w:val="00C82509"/>
    <w:rsid w:val="00C82624"/>
    <w:rsid w:val="00C852AE"/>
    <w:rsid w:val="00C85665"/>
    <w:rsid w:val="00C85CFF"/>
    <w:rsid w:val="00C86194"/>
    <w:rsid w:val="00C866E2"/>
    <w:rsid w:val="00C86AD4"/>
    <w:rsid w:val="00C878BF"/>
    <w:rsid w:val="00C90AFA"/>
    <w:rsid w:val="00C91315"/>
    <w:rsid w:val="00C91452"/>
    <w:rsid w:val="00C91E9C"/>
    <w:rsid w:val="00C92166"/>
    <w:rsid w:val="00C92A1E"/>
    <w:rsid w:val="00C930DA"/>
    <w:rsid w:val="00C93927"/>
    <w:rsid w:val="00C93F70"/>
    <w:rsid w:val="00C94357"/>
    <w:rsid w:val="00C94C4C"/>
    <w:rsid w:val="00C94FC5"/>
    <w:rsid w:val="00C956BA"/>
    <w:rsid w:val="00C95DC1"/>
    <w:rsid w:val="00C9659D"/>
    <w:rsid w:val="00C97AF2"/>
    <w:rsid w:val="00CA003B"/>
    <w:rsid w:val="00CA0055"/>
    <w:rsid w:val="00CA0513"/>
    <w:rsid w:val="00CA0996"/>
    <w:rsid w:val="00CA1FAD"/>
    <w:rsid w:val="00CA31C1"/>
    <w:rsid w:val="00CA3714"/>
    <w:rsid w:val="00CA3918"/>
    <w:rsid w:val="00CA3CF2"/>
    <w:rsid w:val="00CA4AD2"/>
    <w:rsid w:val="00CA578A"/>
    <w:rsid w:val="00CA5856"/>
    <w:rsid w:val="00CA6243"/>
    <w:rsid w:val="00CA688D"/>
    <w:rsid w:val="00CA7039"/>
    <w:rsid w:val="00CA7132"/>
    <w:rsid w:val="00CA72FB"/>
    <w:rsid w:val="00CA7F04"/>
    <w:rsid w:val="00CA7FDE"/>
    <w:rsid w:val="00CB01CF"/>
    <w:rsid w:val="00CB07BD"/>
    <w:rsid w:val="00CB0D7C"/>
    <w:rsid w:val="00CB13B9"/>
    <w:rsid w:val="00CB14C1"/>
    <w:rsid w:val="00CB178A"/>
    <w:rsid w:val="00CB1EE0"/>
    <w:rsid w:val="00CB23FB"/>
    <w:rsid w:val="00CB3213"/>
    <w:rsid w:val="00CB405A"/>
    <w:rsid w:val="00CB4609"/>
    <w:rsid w:val="00CB4A40"/>
    <w:rsid w:val="00CB56AB"/>
    <w:rsid w:val="00CB598E"/>
    <w:rsid w:val="00CB60A4"/>
    <w:rsid w:val="00CB60C4"/>
    <w:rsid w:val="00CB625A"/>
    <w:rsid w:val="00CB68A7"/>
    <w:rsid w:val="00CB6A7F"/>
    <w:rsid w:val="00CB6B9E"/>
    <w:rsid w:val="00CB737F"/>
    <w:rsid w:val="00CB7B89"/>
    <w:rsid w:val="00CB7C90"/>
    <w:rsid w:val="00CB7E6C"/>
    <w:rsid w:val="00CB7EFB"/>
    <w:rsid w:val="00CC043E"/>
    <w:rsid w:val="00CC05F9"/>
    <w:rsid w:val="00CC0C65"/>
    <w:rsid w:val="00CC1160"/>
    <w:rsid w:val="00CC1179"/>
    <w:rsid w:val="00CC1D95"/>
    <w:rsid w:val="00CC25F2"/>
    <w:rsid w:val="00CC2B0B"/>
    <w:rsid w:val="00CC3E5C"/>
    <w:rsid w:val="00CC4C27"/>
    <w:rsid w:val="00CC6550"/>
    <w:rsid w:val="00CC6861"/>
    <w:rsid w:val="00CC72AC"/>
    <w:rsid w:val="00CC7393"/>
    <w:rsid w:val="00CC73CC"/>
    <w:rsid w:val="00CC7C50"/>
    <w:rsid w:val="00CC7DAD"/>
    <w:rsid w:val="00CC7F73"/>
    <w:rsid w:val="00CD02FC"/>
    <w:rsid w:val="00CD0330"/>
    <w:rsid w:val="00CD05A0"/>
    <w:rsid w:val="00CD0B2C"/>
    <w:rsid w:val="00CD1A6D"/>
    <w:rsid w:val="00CD2425"/>
    <w:rsid w:val="00CD285C"/>
    <w:rsid w:val="00CD3F61"/>
    <w:rsid w:val="00CD491F"/>
    <w:rsid w:val="00CD4FCC"/>
    <w:rsid w:val="00CD5A4F"/>
    <w:rsid w:val="00CD6D9C"/>
    <w:rsid w:val="00CD6EF3"/>
    <w:rsid w:val="00CD7D1B"/>
    <w:rsid w:val="00CD7E57"/>
    <w:rsid w:val="00CE08AB"/>
    <w:rsid w:val="00CE17E4"/>
    <w:rsid w:val="00CE30A2"/>
    <w:rsid w:val="00CE31B7"/>
    <w:rsid w:val="00CE38D6"/>
    <w:rsid w:val="00CE39E0"/>
    <w:rsid w:val="00CE3C18"/>
    <w:rsid w:val="00CE3EBD"/>
    <w:rsid w:val="00CE43F4"/>
    <w:rsid w:val="00CE453E"/>
    <w:rsid w:val="00CE49F3"/>
    <w:rsid w:val="00CE4BF5"/>
    <w:rsid w:val="00CE4C7F"/>
    <w:rsid w:val="00CE511D"/>
    <w:rsid w:val="00CE5B7E"/>
    <w:rsid w:val="00CE6218"/>
    <w:rsid w:val="00CE6536"/>
    <w:rsid w:val="00CE6BC6"/>
    <w:rsid w:val="00CE78C5"/>
    <w:rsid w:val="00CE7B96"/>
    <w:rsid w:val="00CF1001"/>
    <w:rsid w:val="00CF11FF"/>
    <w:rsid w:val="00CF4890"/>
    <w:rsid w:val="00CF5FDB"/>
    <w:rsid w:val="00CF6676"/>
    <w:rsid w:val="00CF6900"/>
    <w:rsid w:val="00CF6A5D"/>
    <w:rsid w:val="00CF6D6F"/>
    <w:rsid w:val="00D00D15"/>
    <w:rsid w:val="00D01399"/>
    <w:rsid w:val="00D02AE1"/>
    <w:rsid w:val="00D03399"/>
    <w:rsid w:val="00D03863"/>
    <w:rsid w:val="00D03EB5"/>
    <w:rsid w:val="00D04419"/>
    <w:rsid w:val="00D0484E"/>
    <w:rsid w:val="00D0583C"/>
    <w:rsid w:val="00D05CD7"/>
    <w:rsid w:val="00D06804"/>
    <w:rsid w:val="00D06AD6"/>
    <w:rsid w:val="00D06C1A"/>
    <w:rsid w:val="00D06C90"/>
    <w:rsid w:val="00D07377"/>
    <w:rsid w:val="00D07B01"/>
    <w:rsid w:val="00D07EF2"/>
    <w:rsid w:val="00D11E92"/>
    <w:rsid w:val="00D12FB0"/>
    <w:rsid w:val="00D13E22"/>
    <w:rsid w:val="00D146E2"/>
    <w:rsid w:val="00D147EA"/>
    <w:rsid w:val="00D14C7A"/>
    <w:rsid w:val="00D14CB8"/>
    <w:rsid w:val="00D16705"/>
    <w:rsid w:val="00D17BB8"/>
    <w:rsid w:val="00D17D67"/>
    <w:rsid w:val="00D17F56"/>
    <w:rsid w:val="00D17F5F"/>
    <w:rsid w:val="00D17FD8"/>
    <w:rsid w:val="00D201D9"/>
    <w:rsid w:val="00D20631"/>
    <w:rsid w:val="00D21044"/>
    <w:rsid w:val="00D23156"/>
    <w:rsid w:val="00D2331C"/>
    <w:rsid w:val="00D235BB"/>
    <w:rsid w:val="00D238CF"/>
    <w:rsid w:val="00D23D65"/>
    <w:rsid w:val="00D24084"/>
    <w:rsid w:val="00D24631"/>
    <w:rsid w:val="00D24A7F"/>
    <w:rsid w:val="00D24B09"/>
    <w:rsid w:val="00D25739"/>
    <w:rsid w:val="00D25B40"/>
    <w:rsid w:val="00D2646E"/>
    <w:rsid w:val="00D2652D"/>
    <w:rsid w:val="00D26950"/>
    <w:rsid w:val="00D269BE"/>
    <w:rsid w:val="00D26B7E"/>
    <w:rsid w:val="00D26C31"/>
    <w:rsid w:val="00D273E5"/>
    <w:rsid w:val="00D27533"/>
    <w:rsid w:val="00D27D20"/>
    <w:rsid w:val="00D333FD"/>
    <w:rsid w:val="00D33FBA"/>
    <w:rsid w:val="00D34963"/>
    <w:rsid w:val="00D34DDC"/>
    <w:rsid w:val="00D356F6"/>
    <w:rsid w:val="00D3588E"/>
    <w:rsid w:val="00D36C09"/>
    <w:rsid w:val="00D40482"/>
    <w:rsid w:val="00D40EB3"/>
    <w:rsid w:val="00D421E4"/>
    <w:rsid w:val="00D42749"/>
    <w:rsid w:val="00D43CBD"/>
    <w:rsid w:val="00D443B6"/>
    <w:rsid w:val="00D44A52"/>
    <w:rsid w:val="00D4593B"/>
    <w:rsid w:val="00D46547"/>
    <w:rsid w:val="00D468B1"/>
    <w:rsid w:val="00D47021"/>
    <w:rsid w:val="00D5079F"/>
    <w:rsid w:val="00D50A8D"/>
    <w:rsid w:val="00D50CDB"/>
    <w:rsid w:val="00D513D5"/>
    <w:rsid w:val="00D51EDF"/>
    <w:rsid w:val="00D51F28"/>
    <w:rsid w:val="00D531A6"/>
    <w:rsid w:val="00D53341"/>
    <w:rsid w:val="00D53B09"/>
    <w:rsid w:val="00D53FA1"/>
    <w:rsid w:val="00D54E44"/>
    <w:rsid w:val="00D550CE"/>
    <w:rsid w:val="00D5588B"/>
    <w:rsid w:val="00D55E14"/>
    <w:rsid w:val="00D565B2"/>
    <w:rsid w:val="00D5671C"/>
    <w:rsid w:val="00D56767"/>
    <w:rsid w:val="00D56974"/>
    <w:rsid w:val="00D56E12"/>
    <w:rsid w:val="00D57600"/>
    <w:rsid w:val="00D579C9"/>
    <w:rsid w:val="00D57B2C"/>
    <w:rsid w:val="00D60357"/>
    <w:rsid w:val="00D60589"/>
    <w:rsid w:val="00D611D6"/>
    <w:rsid w:val="00D61764"/>
    <w:rsid w:val="00D61D68"/>
    <w:rsid w:val="00D61F83"/>
    <w:rsid w:val="00D62913"/>
    <w:rsid w:val="00D62BCA"/>
    <w:rsid w:val="00D62CE6"/>
    <w:rsid w:val="00D632D8"/>
    <w:rsid w:val="00D6345B"/>
    <w:rsid w:val="00D635E0"/>
    <w:rsid w:val="00D63A3C"/>
    <w:rsid w:val="00D63E38"/>
    <w:rsid w:val="00D648BF"/>
    <w:rsid w:val="00D6669A"/>
    <w:rsid w:val="00D66D26"/>
    <w:rsid w:val="00D67AA7"/>
    <w:rsid w:val="00D67D3C"/>
    <w:rsid w:val="00D707CB"/>
    <w:rsid w:val="00D70894"/>
    <w:rsid w:val="00D724DE"/>
    <w:rsid w:val="00D73A8D"/>
    <w:rsid w:val="00D73ABC"/>
    <w:rsid w:val="00D73E45"/>
    <w:rsid w:val="00D73E8D"/>
    <w:rsid w:val="00D747D1"/>
    <w:rsid w:val="00D7493F"/>
    <w:rsid w:val="00D749C4"/>
    <w:rsid w:val="00D749DA"/>
    <w:rsid w:val="00D74DB1"/>
    <w:rsid w:val="00D74E4E"/>
    <w:rsid w:val="00D74F9F"/>
    <w:rsid w:val="00D75C41"/>
    <w:rsid w:val="00D7636E"/>
    <w:rsid w:val="00D76452"/>
    <w:rsid w:val="00D76555"/>
    <w:rsid w:val="00D76906"/>
    <w:rsid w:val="00D7744F"/>
    <w:rsid w:val="00D77847"/>
    <w:rsid w:val="00D77BF2"/>
    <w:rsid w:val="00D77DD4"/>
    <w:rsid w:val="00D80279"/>
    <w:rsid w:val="00D807CE"/>
    <w:rsid w:val="00D80BB5"/>
    <w:rsid w:val="00D80BBB"/>
    <w:rsid w:val="00D810B0"/>
    <w:rsid w:val="00D81173"/>
    <w:rsid w:val="00D81491"/>
    <w:rsid w:val="00D818A4"/>
    <w:rsid w:val="00D81D64"/>
    <w:rsid w:val="00D81EDA"/>
    <w:rsid w:val="00D81EE2"/>
    <w:rsid w:val="00D82399"/>
    <w:rsid w:val="00D8266A"/>
    <w:rsid w:val="00D82F55"/>
    <w:rsid w:val="00D834F2"/>
    <w:rsid w:val="00D83DAB"/>
    <w:rsid w:val="00D83E21"/>
    <w:rsid w:val="00D84146"/>
    <w:rsid w:val="00D841DE"/>
    <w:rsid w:val="00D84627"/>
    <w:rsid w:val="00D84774"/>
    <w:rsid w:val="00D8482F"/>
    <w:rsid w:val="00D84C54"/>
    <w:rsid w:val="00D86AB1"/>
    <w:rsid w:val="00D874BA"/>
    <w:rsid w:val="00D87FCC"/>
    <w:rsid w:val="00D90AB1"/>
    <w:rsid w:val="00D90B0A"/>
    <w:rsid w:val="00D9120C"/>
    <w:rsid w:val="00D912D5"/>
    <w:rsid w:val="00D91EA7"/>
    <w:rsid w:val="00D91EDA"/>
    <w:rsid w:val="00D9285C"/>
    <w:rsid w:val="00D92898"/>
    <w:rsid w:val="00D933FB"/>
    <w:rsid w:val="00D93653"/>
    <w:rsid w:val="00D93AFC"/>
    <w:rsid w:val="00D93B28"/>
    <w:rsid w:val="00D95F78"/>
    <w:rsid w:val="00D96447"/>
    <w:rsid w:val="00D96683"/>
    <w:rsid w:val="00D968F3"/>
    <w:rsid w:val="00D96A99"/>
    <w:rsid w:val="00D96D78"/>
    <w:rsid w:val="00D96E16"/>
    <w:rsid w:val="00D97910"/>
    <w:rsid w:val="00D97DE0"/>
    <w:rsid w:val="00DA0450"/>
    <w:rsid w:val="00DA0ACD"/>
    <w:rsid w:val="00DA0F36"/>
    <w:rsid w:val="00DA1BE0"/>
    <w:rsid w:val="00DA1D7A"/>
    <w:rsid w:val="00DA24AE"/>
    <w:rsid w:val="00DA28D2"/>
    <w:rsid w:val="00DA2C08"/>
    <w:rsid w:val="00DA3F1F"/>
    <w:rsid w:val="00DA45B9"/>
    <w:rsid w:val="00DA5218"/>
    <w:rsid w:val="00DA56D7"/>
    <w:rsid w:val="00DA6621"/>
    <w:rsid w:val="00DA75FC"/>
    <w:rsid w:val="00DA767F"/>
    <w:rsid w:val="00DB0194"/>
    <w:rsid w:val="00DB0734"/>
    <w:rsid w:val="00DB0E56"/>
    <w:rsid w:val="00DB10F5"/>
    <w:rsid w:val="00DB1801"/>
    <w:rsid w:val="00DB1B7F"/>
    <w:rsid w:val="00DB2672"/>
    <w:rsid w:val="00DB2CF6"/>
    <w:rsid w:val="00DB2E4E"/>
    <w:rsid w:val="00DB30F8"/>
    <w:rsid w:val="00DB42D3"/>
    <w:rsid w:val="00DB4971"/>
    <w:rsid w:val="00DB4F7B"/>
    <w:rsid w:val="00DB53A0"/>
    <w:rsid w:val="00DB54F2"/>
    <w:rsid w:val="00DB5A27"/>
    <w:rsid w:val="00DB5FD8"/>
    <w:rsid w:val="00DB7129"/>
    <w:rsid w:val="00DB7727"/>
    <w:rsid w:val="00DB77C7"/>
    <w:rsid w:val="00DB78EB"/>
    <w:rsid w:val="00DC08E1"/>
    <w:rsid w:val="00DC0A17"/>
    <w:rsid w:val="00DC0A6A"/>
    <w:rsid w:val="00DC0B9F"/>
    <w:rsid w:val="00DC0BC1"/>
    <w:rsid w:val="00DC1041"/>
    <w:rsid w:val="00DC115C"/>
    <w:rsid w:val="00DC11D1"/>
    <w:rsid w:val="00DC2140"/>
    <w:rsid w:val="00DC363E"/>
    <w:rsid w:val="00DC3666"/>
    <w:rsid w:val="00DC36B7"/>
    <w:rsid w:val="00DC3B8E"/>
    <w:rsid w:val="00DC41E4"/>
    <w:rsid w:val="00DC4205"/>
    <w:rsid w:val="00DC46A9"/>
    <w:rsid w:val="00DC48A6"/>
    <w:rsid w:val="00DC4912"/>
    <w:rsid w:val="00DC50C2"/>
    <w:rsid w:val="00DC52E2"/>
    <w:rsid w:val="00DC5608"/>
    <w:rsid w:val="00DC56D8"/>
    <w:rsid w:val="00DC5BFA"/>
    <w:rsid w:val="00DC5F4C"/>
    <w:rsid w:val="00DC69BF"/>
    <w:rsid w:val="00DC6E5E"/>
    <w:rsid w:val="00DC70B9"/>
    <w:rsid w:val="00DC7130"/>
    <w:rsid w:val="00DC75F1"/>
    <w:rsid w:val="00DC7CF4"/>
    <w:rsid w:val="00DD00D2"/>
    <w:rsid w:val="00DD0171"/>
    <w:rsid w:val="00DD068E"/>
    <w:rsid w:val="00DD093C"/>
    <w:rsid w:val="00DD1711"/>
    <w:rsid w:val="00DD18DD"/>
    <w:rsid w:val="00DD255C"/>
    <w:rsid w:val="00DD2C07"/>
    <w:rsid w:val="00DD34A6"/>
    <w:rsid w:val="00DD3CC9"/>
    <w:rsid w:val="00DD3D77"/>
    <w:rsid w:val="00DD4B61"/>
    <w:rsid w:val="00DD4B9B"/>
    <w:rsid w:val="00DD5E1E"/>
    <w:rsid w:val="00DD6192"/>
    <w:rsid w:val="00DD6339"/>
    <w:rsid w:val="00DD64C5"/>
    <w:rsid w:val="00DD7370"/>
    <w:rsid w:val="00DD77ED"/>
    <w:rsid w:val="00DD7970"/>
    <w:rsid w:val="00DD7FDC"/>
    <w:rsid w:val="00DE1422"/>
    <w:rsid w:val="00DE1A0C"/>
    <w:rsid w:val="00DE1BA8"/>
    <w:rsid w:val="00DE21E7"/>
    <w:rsid w:val="00DE2307"/>
    <w:rsid w:val="00DE28FA"/>
    <w:rsid w:val="00DE2B91"/>
    <w:rsid w:val="00DE3089"/>
    <w:rsid w:val="00DE30E7"/>
    <w:rsid w:val="00DE346D"/>
    <w:rsid w:val="00DE35F4"/>
    <w:rsid w:val="00DE3F22"/>
    <w:rsid w:val="00DE56B7"/>
    <w:rsid w:val="00DE56E4"/>
    <w:rsid w:val="00DE60A7"/>
    <w:rsid w:val="00DE60A9"/>
    <w:rsid w:val="00DE629E"/>
    <w:rsid w:val="00DE632C"/>
    <w:rsid w:val="00DE6FD3"/>
    <w:rsid w:val="00DE7584"/>
    <w:rsid w:val="00DE7816"/>
    <w:rsid w:val="00DF0B38"/>
    <w:rsid w:val="00DF131F"/>
    <w:rsid w:val="00DF1341"/>
    <w:rsid w:val="00DF136E"/>
    <w:rsid w:val="00DF160E"/>
    <w:rsid w:val="00DF1CB1"/>
    <w:rsid w:val="00DF21F1"/>
    <w:rsid w:val="00DF273E"/>
    <w:rsid w:val="00DF36B5"/>
    <w:rsid w:val="00DF3D17"/>
    <w:rsid w:val="00DF4443"/>
    <w:rsid w:val="00DF479A"/>
    <w:rsid w:val="00DF4958"/>
    <w:rsid w:val="00DF541A"/>
    <w:rsid w:val="00DF6561"/>
    <w:rsid w:val="00DF70AE"/>
    <w:rsid w:val="00DF73E2"/>
    <w:rsid w:val="00DF7BD1"/>
    <w:rsid w:val="00DF7F56"/>
    <w:rsid w:val="00E00130"/>
    <w:rsid w:val="00E00217"/>
    <w:rsid w:val="00E002BD"/>
    <w:rsid w:val="00E00537"/>
    <w:rsid w:val="00E026F4"/>
    <w:rsid w:val="00E027B7"/>
    <w:rsid w:val="00E02F0B"/>
    <w:rsid w:val="00E03005"/>
    <w:rsid w:val="00E0338A"/>
    <w:rsid w:val="00E037C3"/>
    <w:rsid w:val="00E03F20"/>
    <w:rsid w:val="00E062A5"/>
    <w:rsid w:val="00E0681E"/>
    <w:rsid w:val="00E07D67"/>
    <w:rsid w:val="00E10235"/>
    <w:rsid w:val="00E10943"/>
    <w:rsid w:val="00E10BD9"/>
    <w:rsid w:val="00E11B4D"/>
    <w:rsid w:val="00E1252E"/>
    <w:rsid w:val="00E128E3"/>
    <w:rsid w:val="00E1293D"/>
    <w:rsid w:val="00E129AA"/>
    <w:rsid w:val="00E130FB"/>
    <w:rsid w:val="00E1373D"/>
    <w:rsid w:val="00E13C85"/>
    <w:rsid w:val="00E13E02"/>
    <w:rsid w:val="00E13EC9"/>
    <w:rsid w:val="00E14180"/>
    <w:rsid w:val="00E142B9"/>
    <w:rsid w:val="00E14DF9"/>
    <w:rsid w:val="00E1609F"/>
    <w:rsid w:val="00E16A37"/>
    <w:rsid w:val="00E20042"/>
    <w:rsid w:val="00E20D54"/>
    <w:rsid w:val="00E22086"/>
    <w:rsid w:val="00E2231C"/>
    <w:rsid w:val="00E22BF3"/>
    <w:rsid w:val="00E22C4C"/>
    <w:rsid w:val="00E24738"/>
    <w:rsid w:val="00E2482F"/>
    <w:rsid w:val="00E248D1"/>
    <w:rsid w:val="00E2508D"/>
    <w:rsid w:val="00E25182"/>
    <w:rsid w:val="00E25C5A"/>
    <w:rsid w:val="00E25E58"/>
    <w:rsid w:val="00E2687C"/>
    <w:rsid w:val="00E2699D"/>
    <w:rsid w:val="00E26EE3"/>
    <w:rsid w:val="00E27C7A"/>
    <w:rsid w:val="00E30199"/>
    <w:rsid w:val="00E30DBA"/>
    <w:rsid w:val="00E31705"/>
    <w:rsid w:val="00E3203B"/>
    <w:rsid w:val="00E32674"/>
    <w:rsid w:val="00E331FC"/>
    <w:rsid w:val="00E33B4E"/>
    <w:rsid w:val="00E343E3"/>
    <w:rsid w:val="00E34EEE"/>
    <w:rsid w:val="00E35518"/>
    <w:rsid w:val="00E35C2A"/>
    <w:rsid w:val="00E35CE1"/>
    <w:rsid w:val="00E35F60"/>
    <w:rsid w:val="00E35F6D"/>
    <w:rsid w:val="00E35F97"/>
    <w:rsid w:val="00E36AA3"/>
    <w:rsid w:val="00E36C68"/>
    <w:rsid w:val="00E36FEF"/>
    <w:rsid w:val="00E37071"/>
    <w:rsid w:val="00E40309"/>
    <w:rsid w:val="00E4158C"/>
    <w:rsid w:val="00E41D24"/>
    <w:rsid w:val="00E41E18"/>
    <w:rsid w:val="00E4251D"/>
    <w:rsid w:val="00E4365D"/>
    <w:rsid w:val="00E43D39"/>
    <w:rsid w:val="00E44201"/>
    <w:rsid w:val="00E45C24"/>
    <w:rsid w:val="00E45F37"/>
    <w:rsid w:val="00E460BB"/>
    <w:rsid w:val="00E463B1"/>
    <w:rsid w:val="00E46428"/>
    <w:rsid w:val="00E46896"/>
    <w:rsid w:val="00E47715"/>
    <w:rsid w:val="00E47A78"/>
    <w:rsid w:val="00E47B40"/>
    <w:rsid w:val="00E47C24"/>
    <w:rsid w:val="00E50924"/>
    <w:rsid w:val="00E5122D"/>
    <w:rsid w:val="00E5189A"/>
    <w:rsid w:val="00E524B5"/>
    <w:rsid w:val="00E537F4"/>
    <w:rsid w:val="00E544CD"/>
    <w:rsid w:val="00E546A5"/>
    <w:rsid w:val="00E55589"/>
    <w:rsid w:val="00E5566C"/>
    <w:rsid w:val="00E5586C"/>
    <w:rsid w:val="00E56A41"/>
    <w:rsid w:val="00E56A72"/>
    <w:rsid w:val="00E56CB8"/>
    <w:rsid w:val="00E56CF9"/>
    <w:rsid w:val="00E574D9"/>
    <w:rsid w:val="00E576BC"/>
    <w:rsid w:val="00E57716"/>
    <w:rsid w:val="00E579C6"/>
    <w:rsid w:val="00E57D31"/>
    <w:rsid w:val="00E60535"/>
    <w:rsid w:val="00E60641"/>
    <w:rsid w:val="00E6171D"/>
    <w:rsid w:val="00E619AC"/>
    <w:rsid w:val="00E6248F"/>
    <w:rsid w:val="00E62D72"/>
    <w:rsid w:val="00E634BF"/>
    <w:rsid w:val="00E63736"/>
    <w:rsid w:val="00E63E3D"/>
    <w:rsid w:val="00E6409B"/>
    <w:rsid w:val="00E6479E"/>
    <w:rsid w:val="00E64938"/>
    <w:rsid w:val="00E64FD9"/>
    <w:rsid w:val="00E650E8"/>
    <w:rsid w:val="00E65998"/>
    <w:rsid w:val="00E6684D"/>
    <w:rsid w:val="00E668E1"/>
    <w:rsid w:val="00E670DD"/>
    <w:rsid w:val="00E67689"/>
    <w:rsid w:val="00E67A66"/>
    <w:rsid w:val="00E67E42"/>
    <w:rsid w:val="00E711E6"/>
    <w:rsid w:val="00E71261"/>
    <w:rsid w:val="00E715E5"/>
    <w:rsid w:val="00E718E5"/>
    <w:rsid w:val="00E71C9D"/>
    <w:rsid w:val="00E71CEC"/>
    <w:rsid w:val="00E71E1E"/>
    <w:rsid w:val="00E71EFE"/>
    <w:rsid w:val="00E72456"/>
    <w:rsid w:val="00E72A09"/>
    <w:rsid w:val="00E73D84"/>
    <w:rsid w:val="00E73F47"/>
    <w:rsid w:val="00E74328"/>
    <w:rsid w:val="00E75619"/>
    <w:rsid w:val="00E76747"/>
    <w:rsid w:val="00E769DE"/>
    <w:rsid w:val="00E76BDE"/>
    <w:rsid w:val="00E76EA8"/>
    <w:rsid w:val="00E777F0"/>
    <w:rsid w:val="00E818F4"/>
    <w:rsid w:val="00E821A8"/>
    <w:rsid w:val="00E82874"/>
    <w:rsid w:val="00E82C5A"/>
    <w:rsid w:val="00E83517"/>
    <w:rsid w:val="00E8369B"/>
    <w:rsid w:val="00E83730"/>
    <w:rsid w:val="00E839AF"/>
    <w:rsid w:val="00E83A41"/>
    <w:rsid w:val="00E83B72"/>
    <w:rsid w:val="00E83C9A"/>
    <w:rsid w:val="00E84623"/>
    <w:rsid w:val="00E85490"/>
    <w:rsid w:val="00E86548"/>
    <w:rsid w:val="00E8672B"/>
    <w:rsid w:val="00E86A0E"/>
    <w:rsid w:val="00E86F4E"/>
    <w:rsid w:val="00E91970"/>
    <w:rsid w:val="00E9239F"/>
    <w:rsid w:val="00E92537"/>
    <w:rsid w:val="00E93B6F"/>
    <w:rsid w:val="00E94023"/>
    <w:rsid w:val="00E94563"/>
    <w:rsid w:val="00E94963"/>
    <w:rsid w:val="00E94DEC"/>
    <w:rsid w:val="00E95320"/>
    <w:rsid w:val="00E954FD"/>
    <w:rsid w:val="00E956C7"/>
    <w:rsid w:val="00E95EBA"/>
    <w:rsid w:val="00E96671"/>
    <w:rsid w:val="00E96B26"/>
    <w:rsid w:val="00E96F7A"/>
    <w:rsid w:val="00E97796"/>
    <w:rsid w:val="00E97F3E"/>
    <w:rsid w:val="00EA0934"/>
    <w:rsid w:val="00EA0F0D"/>
    <w:rsid w:val="00EA0F54"/>
    <w:rsid w:val="00EA1637"/>
    <w:rsid w:val="00EA1ACE"/>
    <w:rsid w:val="00EA1FE7"/>
    <w:rsid w:val="00EA2E93"/>
    <w:rsid w:val="00EA34F2"/>
    <w:rsid w:val="00EA3594"/>
    <w:rsid w:val="00EA36CC"/>
    <w:rsid w:val="00EA4101"/>
    <w:rsid w:val="00EA4184"/>
    <w:rsid w:val="00EA422A"/>
    <w:rsid w:val="00EA4482"/>
    <w:rsid w:val="00EA4577"/>
    <w:rsid w:val="00EA4880"/>
    <w:rsid w:val="00EA4996"/>
    <w:rsid w:val="00EA50C6"/>
    <w:rsid w:val="00EA5734"/>
    <w:rsid w:val="00EA5BB4"/>
    <w:rsid w:val="00EA69D1"/>
    <w:rsid w:val="00EA7153"/>
    <w:rsid w:val="00EA735D"/>
    <w:rsid w:val="00EA7620"/>
    <w:rsid w:val="00EA7644"/>
    <w:rsid w:val="00EB10CF"/>
    <w:rsid w:val="00EB316E"/>
    <w:rsid w:val="00EB3972"/>
    <w:rsid w:val="00EB43FE"/>
    <w:rsid w:val="00EB4A6D"/>
    <w:rsid w:val="00EB4ED1"/>
    <w:rsid w:val="00EB5BE6"/>
    <w:rsid w:val="00EB5FC5"/>
    <w:rsid w:val="00EC05FB"/>
    <w:rsid w:val="00EC0EDA"/>
    <w:rsid w:val="00EC15EB"/>
    <w:rsid w:val="00EC252B"/>
    <w:rsid w:val="00EC2CCE"/>
    <w:rsid w:val="00EC316B"/>
    <w:rsid w:val="00EC36EC"/>
    <w:rsid w:val="00EC3C67"/>
    <w:rsid w:val="00EC4F24"/>
    <w:rsid w:val="00EC6EC8"/>
    <w:rsid w:val="00EC71C3"/>
    <w:rsid w:val="00EC7731"/>
    <w:rsid w:val="00EC780D"/>
    <w:rsid w:val="00EC7ACD"/>
    <w:rsid w:val="00EC7CF2"/>
    <w:rsid w:val="00EC7DDD"/>
    <w:rsid w:val="00EC7E50"/>
    <w:rsid w:val="00ED00EE"/>
    <w:rsid w:val="00ED0A96"/>
    <w:rsid w:val="00ED1C21"/>
    <w:rsid w:val="00ED27A5"/>
    <w:rsid w:val="00ED2821"/>
    <w:rsid w:val="00ED2A90"/>
    <w:rsid w:val="00ED3764"/>
    <w:rsid w:val="00ED3B21"/>
    <w:rsid w:val="00ED3BB9"/>
    <w:rsid w:val="00ED3C52"/>
    <w:rsid w:val="00ED3F6F"/>
    <w:rsid w:val="00ED44A6"/>
    <w:rsid w:val="00ED44CF"/>
    <w:rsid w:val="00ED527C"/>
    <w:rsid w:val="00ED5830"/>
    <w:rsid w:val="00ED5A91"/>
    <w:rsid w:val="00ED630C"/>
    <w:rsid w:val="00ED6412"/>
    <w:rsid w:val="00ED6C86"/>
    <w:rsid w:val="00ED6D4A"/>
    <w:rsid w:val="00ED79F3"/>
    <w:rsid w:val="00EE0501"/>
    <w:rsid w:val="00EE0786"/>
    <w:rsid w:val="00EE082D"/>
    <w:rsid w:val="00EE0EFB"/>
    <w:rsid w:val="00EE10F0"/>
    <w:rsid w:val="00EE1C2C"/>
    <w:rsid w:val="00EE20F0"/>
    <w:rsid w:val="00EE2ADB"/>
    <w:rsid w:val="00EE2DDF"/>
    <w:rsid w:val="00EE3015"/>
    <w:rsid w:val="00EE3335"/>
    <w:rsid w:val="00EE3373"/>
    <w:rsid w:val="00EE3881"/>
    <w:rsid w:val="00EE480B"/>
    <w:rsid w:val="00EE4B0A"/>
    <w:rsid w:val="00EE4C49"/>
    <w:rsid w:val="00EE5F10"/>
    <w:rsid w:val="00EE6618"/>
    <w:rsid w:val="00EE6680"/>
    <w:rsid w:val="00EE6B49"/>
    <w:rsid w:val="00EE7CB5"/>
    <w:rsid w:val="00EF0339"/>
    <w:rsid w:val="00EF049F"/>
    <w:rsid w:val="00EF0700"/>
    <w:rsid w:val="00EF0A7B"/>
    <w:rsid w:val="00EF0D74"/>
    <w:rsid w:val="00EF14D7"/>
    <w:rsid w:val="00EF1BD6"/>
    <w:rsid w:val="00EF206E"/>
    <w:rsid w:val="00EF2A39"/>
    <w:rsid w:val="00EF2F49"/>
    <w:rsid w:val="00EF30A7"/>
    <w:rsid w:val="00EF346B"/>
    <w:rsid w:val="00EF36D1"/>
    <w:rsid w:val="00EF473E"/>
    <w:rsid w:val="00EF506A"/>
    <w:rsid w:val="00EF5527"/>
    <w:rsid w:val="00EF5AC3"/>
    <w:rsid w:val="00EF60AA"/>
    <w:rsid w:val="00EF7516"/>
    <w:rsid w:val="00EF759B"/>
    <w:rsid w:val="00EF7A5E"/>
    <w:rsid w:val="00EF7DDC"/>
    <w:rsid w:val="00F004E4"/>
    <w:rsid w:val="00F007ED"/>
    <w:rsid w:val="00F01062"/>
    <w:rsid w:val="00F011DA"/>
    <w:rsid w:val="00F01AC7"/>
    <w:rsid w:val="00F01E76"/>
    <w:rsid w:val="00F01EA1"/>
    <w:rsid w:val="00F02341"/>
    <w:rsid w:val="00F0262B"/>
    <w:rsid w:val="00F026F8"/>
    <w:rsid w:val="00F02907"/>
    <w:rsid w:val="00F030BA"/>
    <w:rsid w:val="00F03950"/>
    <w:rsid w:val="00F03EEC"/>
    <w:rsid w:val="00F044AA"/>
    <w:rsid w:val="00F05169"/>
    <w:rsid w:val="00F05586"/>
    <w:rsid w:val="00F0592E"/>
    <w:rsid w:val="00F05961"/>
    <w:rsid w:val="00F05B99"/>
    <w:rsid w:val="00F05BFE"/>
    <w:rsid w:val="00F05C91"/>
    <w:rsid w:val="00F067AE"/>
    <w:rsid w:val="00F06962"/>
    <w:rsid w:val="00F07228"/>
    <w:rsid w:val="00F07424"/>
    <w:rsid w:val="00F078E3"/>
    <w:rsid w:val="00F07921"/>
    <w:rsid w:val="00F102DB"/>
    <w:rsid w:val="00F109DC"/>
    <w:rsid w:val="00F10FB7"/>
    <w:rsid w:val="00F111A0"/>
    <w:rsid w:val="00F12BD2"/>
    <w:rsid w:val="00F13D81"/>
    <w:rsid w:val="00F13F1C"/>
    <w:rsid w:val="00F14B21"/>
    <w:rsid w:val="00F14E5F"/>
    <w:rsid w:val="00F1752E"/>
    <w:rsid w:val="00F17930"/>
    <w:rsid w:val="00F179D4"/>
    <w:rsid w:val="00F17E8B"/>
    <w:rsid w:val="00F203D3"/>
    <w:rsid w:val="00F2079F"/>
    <w:rsid w:val="00F20AD0"/>
    <w:rsid w:val="00F20DC3"/>
    <w:rsid w:val="00F2188B"/>
    <w:rsid w:val="00F21C27"/>
    <w:rsid w:val="00F21C5A"/>
    <w:rsid w:val="00F2231A"/>
    <w:rsid w:val="00F22584"/>
    <w:rsid w:val="00F23E6E"/>
    <w:rsid w:val="00F24EFB"/>
    <w:rsid w:val="00F25697"/>
    <w:rsid w:val="00F25B65"/>
    <w:rsid w:val="00F2621B"/>
    <w:rsid w:val="00F26A30"/>
    <w:rsid w:val="00F26B47"/>
    <w:rsid w:val="00F26F63"/>
    <w:rsid w:val="00F27BC5"/>
    <w:rsid w:val="00F27D53"/>
    <w:rsid w:val="00F27F21"/>
    <w:rsid w:val="00F302DA"/>
    <w:rsid w:val="00F30690"/>
    <w:rsid w:val="00F30DF5"/>
    <w:rsid w:val="00F311A6"/>
    <w:rsid w:val="00F3127C"/>
    <w:rsid w:val="00F325FC"/>
    <w:rsid w:val="00F32A58"/>
    <w:rsid w:val="00F32D74"/>
    <w:rsid w:val="00F338BB"/>
    <w:rsid w:val="00F33D03"/>
    <w:rsid w:val="00F33D83"/>
    <w:rsid w:val="00F34562"/>
    <w:rsid w:val="00F34AF6"/>
    <w:rsid w:val="00F34CA3"/>
    <w:rsid w:val="00F36672"/>
    <w:rsid w:val="00F36E85"/>
    <w:rsid w:val="00F377DB"/>
    <w:rsid w:val="00F37FBB"/>
    <w:rsid w:val="00F40109"/>
    <w:rsid w:val="00F40390"/>
    <w:rsid w:val="00F405AB"/>
    <w:rsid w:val="00F40FF8"/>
    <w:rsid w:val="00F41655"/>
    <w:rsid w:val="00F416F8"/>
    <w:rsid w:val="00F41BA8"/>
    <w:rsid w:val="00F41CC4"/>
    <w:rsid w:val="00F41E44"/>
    <w:rsid w:val="00F4219B"/>
    <w:rsid w:val="00F424E8"/>
    <w:rsid w:val="00F42764"/>
    <w:rsid w:val="00F42AC6"/>
    <w:rsid w:val="00F43366"/>
    <w:rsid w:val="00F43628"/>
    <w:rsid w:val="00F43D06"/>
    <w:rsid w:val="00F43EF1"/>
    <w:rsid w:val="00F43FB8"/>
    <w:rsid w:val="00F4462D"/>
    <w:rsid w:val="00F4476C"/>
    <w:rsid w:val="00F44CA6"/>
    <w:rsid w:val="00F44E1A"/>
    <w:rsid w:val="00F457FF"/>
    <w:rsid w:val="00F46173"/>
    <w:rsid w:val="00F462D4"/>
    <w:rsid w:val="00F465CE"/>
    <w:rsid w:val="00F466E9"/>
    <w:rsid w:val="00F466EB"/>
    <w:rsid w:val="00F46D35"/>
    <w:rsid w:val="00F4703D"/>
    <w:rsid w:val="00F471BE"/>
    <w:rsid w:val="00F47287"/>
    <w:rsid w:val="00F479F7"/>
    <w:rsid w:val="00F50280"/>
    <w:rsid w:val="00F50EC5"/>
    <w:rsid w:val="00F5155B"/>
    <w:rsid w:val="00F517F3"/>
    <w:rsid w:val="00F522D8"/>
    <w:rsid w:val="00F52474"/>
    <w:rsid w:val="00F52755"/>
    <w:rsid w:val="00F52EA0"/>
    <w:rsid w:val="00F53B84"/>
    <w:rsid w:val="00F5415D"/>
    <w:rsid w:val="00F54E0C"/>
    <w:rsid w:val="00F550E7"/>
    <w:rsid w:val="00F5557D"/>
    <w:rsid w:val="00F567B8"/>
    <w:rsid w:val="00F56F1D"/>
    <w:rsid w:val="00F57090"/>
    <w:rsid w:val="00F603C2"/>
    <w:rsid w:val="00F605F6"/>
    <w:rsid w:val="00F6066D"/>
    <w:rsid w:val="00F60A88"/>
    <w:rsid w:val="00F6200F"/>
    <w:rsid w:val="00F6248A"/>
    <w:rsid w:val="00F6280D"/>
    <w:rsid w:val="00F62AA4"/>
    <w:rsid w:val="00F62CF4"/>
    <w:rsid w:val="00F63926"/>
    <w:rsid w:val="00F63E6D"/>
    <w:rsid w:val="00F640A5"/>
    <w:rsid w:val="00F644B9"/>
    <w:rsid w:val="00F6475C"/>
    <w:rsid w:val="00F64EE6"/>
    <w:rsid w:val="00F65A90"/>
    <w:rsid w:val="00F65AC1"/>
    <w:rsid w:val="00F65BB2"/>
    <w:rsid w:val="00F66A0F"/>
    <w:rsid w:val="00F66B69"/>
    <w:rsid w:val="00F6752E"/>
    <w:rsid w:val="00F67BB5"/>
    <w:rsid w:val="00F67CC8"/>
    <w:rsid w:val="00F67DB9"/>
    <w:rsid w:val="00F70035"/>
    <w:rsid w:val="00F70462"/>
    <w:rsid w:val="00F7067F"/>
    <w:rsid w:val="00F70FFA"/>
    <w:rsid w:val="00F716DD"/>
    <w:rsid w:val="00F7198C"/>
    <w:rsid w:val="00F71BD8"/>
    <w:rsid w:val="00F71F93"/>
    <w:rsid w:val="00F720C4"/>
    <w:rsid w:val="00F72ADF"/>
    <w:rsid w:val="00F732F8"/>
    <w:rsid w:val="00F7381A"/>
    <w:rsid w:val="00F7392E"/>
    <w:rsid w:val="00F73E59"/>
    <w:rsid w:val="00F7432E"/>
    <w:rsid w:val="00F74356"/>
    <w:rsid w:val="00F744B9"/>
    <w:rsid w:val="00F74830"/>
    <w:rsid w:val="00F74E6D"/>
    <w:rsid w:val="00F74F0B"/>
    <w:rsid w:val="00F753C6"/>
    <w:rsid w:val="00F760D5"/>
    <w:rsid w:val="00F76202"/>
    <w:rsid w:val="00F7622B"/>
    <w:rsid w:val="00F767EA"/>
    <w:rsid w:val="00F7727A"/>
    <w:rsid w:val="00F77ECB"/>
    <w:rsid w:val="00F800CA"/>
    <w:rsid w:val="00F81A27"/>
    <w:rsid w:val="00F824B5"/>
    <w:rsid w:val="00F82992"/>
    <w:rsid w:val="00F83189"/>
    <w:rsid w:val="00F83B1A"/>
    <w:rsid w:val="00F83B96"/>
    <w:rsid w:val="00F84110"/>
    <w:rsid w:val="00F84F59"/>
    <w:rsid w:val="00F853A2"/>
    <w:rsid w:val="00F8581F"/>
    <w:rsid w:val="00F85EAD"/>
    <w:rsid w:val="00F867D5"/>
    <w:rsid w:val="00F873CB"/>
    <w:rsid w:val="00F875A4"/>
    <w:rsid w:val="00F87F6C"/>
    <w:rsid w:val="00F90410"/>
    <w:rsid w:val="00F908DA"/>
    <w:rsid w:val="00F90DA8"/>
    <w:rsid w:val="00F91111"/>
    <w:rsid w:val="00F914EC"/>
    <w:rsid w:val="00F91ED6"/>
    <w:rsid w:val="00F92313"/>
    <w:rsid w:val="00F92359"/>
    <w:rsid w:val="00F9307F"/>
    <w:rsid w:val="00F93099"/>
    <w:rsid w:val="00F934B1"/>
    <w:rsid w:val="00F94438"/>
    <w:rsid w:val="00F95B15"/>
    <w:rsid w:val="00F95FEB"/>
    <w:rsid w:val="00F979C3"/>
    <w:rsid w:val="00FA0035"/>
    <w:rsid w:val="00FA034D"/>
    <w:rsid w:val="00FA05DF"/>
    <w:rsid w:val="00FA10B9"/>
    <w:rsid w:val="00FA161D"/>
    <w:rsid w:val="00FA1A1B"/>
    <w:rsid w:val="00FA1DBA"/>
    <w:rsid w:val="00FA2067"/>
    <w:rsid w:val="00FA21FA"/>
    <w:rsid w:val="00FA2ACE"/>
    <w:rsid w:val="00FA2B04"/>
    <w:rsid w:val="00FA2BF7"/>
    <w:rsid w:val="00FA2CB1"/>
    <w:rsid w:val="00FA3ED9"/>
    <w:rsid w:val="00FA3FC0"/>
    <w:rsid w:val="00FA3FEA"/>
    <w:rsid w:val="00FA49A6"/>
    <w:rsid w:val="00FA617D"/>
    <w:rsid w:val="00FA63BE"/>
    <w:rsid w:val="00FA6413"/>
    <w:rsid w:val="00FA6872"/>
    <w:rsid w:val="00FA69E5"/>
    <w:rsid w:val="00FA6D63"/>
    <w:rsid w:val="00FA7CDD"/>
    <w:rsid w:val="00FB1CFA"/>
    <w:rsid w:val="00FB3269"/>
    <w:rsid w:val="00FB370E"/>
    <w:rsid w:val="00FB3AB6"/>
    <w:rsid w:val="00FB3F98"/>
    <w:rsid w:val="00FB498E"/>
    <w:rsid w:val="00FB4CFD"/>
    <w:rsid w:val="00FB5644"/>
    <w:rsid w:val="00FB578F"/>
    <w:rsid w:val="00FB5C07"/>
    <w:rsid w:val="00FB5F41"/>
    <w:rsid w:val="00FB6466"/>
    <w:rsid w:val="00FC0709"/>
    <w:rsid w:val="00FC1239"/>
    <w:rsid w:val="00FC1908"/>
    <w:rsid w:val="00FC1C85"/>
    <w:rsid w:val="00FC2C86"/>
    <w:rsid w:val="00FC2E1B"/>
    <w:rsid w:val="00FC34FB"/>
    <w:rsid w:val="00FC4181"/>
    <w:rsid w:val="00FC4684"/>
    <w:rsid w:val="00FC4992"/>
    <w:rsid w:val="00FC59F5"/>
    <w:rsid w:val="00FC6040"/>
    <w:rsid w:val="00FC60E4"/>
    <w:rsid w:val="00FC7507"/>
    <w:rsid w:val="00FC75B0"/>
    <w:rsid w:val="00FD0022"/>
    <w:rsid w:val="00FD0EF1"/>
    <w:rsid w:val="00FD162E"/>
    <w:rsid w:val="00FD1A2B"/>
    <w:rsid w:val="00FD24E3"/>
    <w:rsid w:val="00FD260B"/>
    <w:rsid w:val="00FD3932"/>
    <w:rsid w:val="00FD39D3"/>
    <w:rsid w:val="00FD3B1F"/>
    <w:rsid w:val="00FD3C8F"/>
    <w:rsid w:val="00FD42C1"/>
    <w:rsid w:val="00FD4596"/>
    <w:rsid w:val="00FD6853"/>
    <w:rsid w:val="00FD797F"/>
    <w:rsid w:val="00FE06A8"/>
    <w:rsid w:val="00FE1801"/>
    <w:rsid w:val="00FE1966"/>
    <w:rsid w:val="00FE1A6F"/>
    <w:rsid w:val="00FE1F11"/>
    <w:rsid w:val="00FE2052"/>
    <w:rsid w:val="00FE318D"/>
    <w:rsid w:val="00FE367D"/>
    <w:rsid w:val="00FE5290"/>
    <w:rsid w:val="00FE52AB"/>
    <w:rsid w:val="00FE5562"/>
    <w:rsid w:val="00FE59E6"/>
    <w:rsid w:val="00FE61D6"/>
    <w:rsid w:val="00FE6484"/>
    <w:rsid w:val="00FE6D61"/>
    <w:rsid w:val="00FE6F6D"/>
    <w:rsid w:val="00FE73F6"/>
    <w:rsid w:val="00FE7649"/>
    <w:rsid w:val="00FE7BB4"/>
    <w:rsid w:val="00FF0237"/>
    <w:rsid w:val="00FF0B2C"/>
    <w:rsid w:val="00FF0BBB"/>
    <w:rsid w:val="00FF0F86"/>
    <w:rsid w:val="00FF1EEF"/>
    <w:rsid w:val="00FF2F88"/>
    <w:rsid w:val="00FF3909"/>
    <w:rsid w:val="00FF43C6"/>
    <w:rsid w:val="00FF4493"/>
    <w:rsid w:val="00FF5140"/>
    <w:rsid w:val="00FF69A1"/>
    <w:rsid w:val="00FF6B48"/>
    <w:rsid w:val="00FF6BFE"/>
    <w:rsid w:val="00FF6F1C"/>
    <w:rsid w:val="00FF733A"/>
    <w:rsid w:val="00FF7DD3"/>
    <w:rsid w:val="01C12BFD"/>
    <w:rsid w:val="01C729FC"/>
    <w:rsid w:val="022415FF"/>
    <w:rsid w:val="03D04584"/>
    <w:rsid w:val="0517148C"/>
    <w:rsid w:val="053D411D"/>
    <w:rsid w:val="065E269E"/>
    <w:rsid w:val="07540414"/>
    <w:rsid w:val="077E4D1B"/>
    <w:rsid w:val="08B40646"/>
    <w:rsid w:val="09C56D40"/>
    <w:rsid w:val="0A4842E1"/>
    <w:rsid w:val="0C137B6C"/>
    <w:rsid w:val="0D347CA8"/>
    <w:rsid w:val="0DC25040"/>
    <w:rsid w:val="0E8313C1"/>
    <w:rsid w:val="10114F65"/>
    <w:rsid w:val="1164562E"/>
    <w:rsid w:val="11F071E6"/>
    <w:rsid w:val="11F62546"/>
    <w:rsid w:val="14162405"/>
    <w:rsid w:val="142A21EA"/>
    <w:rsid w:val="15C255BE"/>
    <w:rsid w:val="15E82303"/>
    <w:rsid w:val="16156139"/>
    <w:rsid w:val="16F874C9"/>
    <w:rsid w:val="173423E1"/>
    <w:rsid w:val="17C948A4"/>
    <w:rsid w:val="17CE72CE"/>
    <w:rsid w:val="17D842D3"/>
    <w:rsid w:val="1862046E"/>
    <w:rsid w:val="196F62FD"/>
    <w:rsid w:val="19817EF8"/>
    <w:rsid w:val="19A566FC"/>
    <w:rsid w:val="1ADC700F"/>
    <w:rsid w:val="1B861809"/>
    <w:rsid w:val="1CFA38A1"/>
    <w:rsid w:val="1DBB50EF"/>
    <w:rsid w:val="1E07377E"/>
    <w:rsid w:val="1E376016"/>
    <w:rsid w:val="1EC12CFA"/>
    <w:rsid w:val="1F5527AE"/>
    <w:rsid w:val="1F7E0BD2"/>
    <w:rsid w:val="20452143"/>
    <w:rsid w:val="21DD7AC1"/>
    <w:rsid w:val="22176478"/>
    <w:rsid w:val="22BE6E29"/>
    <w:rsid w:val="23367DDE"/>
    <w:rsid w:val="23BA35E6"/>
    <w:rsid w:val="24F95335"/>
    <w:rsid w:val="251D4A47"/>
    <w:rsid w:val="25F112F2"/>
    <w:rsid w:val="26082C45"/>
    <w:rsid w:val="264811F3"/>
    <w:rsid w:val="277E75C3"/>
    <w:rsid w:val="286C6439"/>
    <w:rsid w:val="28900D7F"/>
    <w:rsid w:val="289B5182"/>
    <w:rsid w:val="297C5E28"/>
    <w:rsid w:val="2C91288D"/>
    <w:rsid w:val="2CAB017D"/>
    <w:rsid w:val="2D39651C"/>
    <w:rsid w:val="2D4D4B74"/>
    <w:rsid w:val="2DBB2415"/>
    <w:rsid w:val="2E393C1F"/>
    <w:rsid w:val="2EB80A50"/>
    <w:rsid w:val="2FB429F9"/>
    <w:rsid w:val="2FEC0EDF"/>
    <w:rsid w:val="301179A8"/>
    <w:rsid w:val="308C5DAB"/>
    <w:rsid w:val="30F22E41"/>
    <w:rsid w:val="311A7536"/>
    <w:rsid w:val="31511521"/>
    <w:rsid w:val="32094246"/>
    <w:rsid w:val="337501C9"/>
    <w:rsid w:val="33F513E7"/>
    <w:rsid w:val="35E44775"/>
    <w:rsid w:val="36F96F8F"/>
    <w:rsid w:val="379968F2"/>
    <w:rsid w:val="37EB23E3"/>
    <w:rsid w:val="381177DA"/>
    <w:rsid w:val="381C64B5"/>
    <w:rsid w:val="385B58AC"/>
    <w:rsid w:val="385E1B7A"/>
    <w:rsid w:val="397C2F3F"/>
    <w:rsid w:val="3AB04CE9"/>
    <w:rsid w:val="3B855283"/>
    <w:rsid w:val="3B992FAA"/>
    <w:rsid w:val="3CAD4E5D"/>
    <w:rsid w:val="3CD4211F"/>
    <w:rsid w:val="3D3F338B"/>
    <w:rsid w:val="404A7712"/>
    <w:rsid w:val="405B219E"/>
    <w:rsid w:val="40D334E9"/>
    <w:rsid w:val="41887658"/>
    <w:rsid w:val="419A102E"/>
    <w:rsid w:val="428967D2"/>
    <w:rsid w:val="43A33D83"/>
    <w:rsid w:val="43F84B0B"/>
    <w:rsid w:val="44027ED2"/>
    <w:rsid w:val="44F6541B"/>
    <w:rsid w:val="45527820"/>
    <w:rsid w:val="4860433B"/>
    <w:rsid w:val="48BF79C9"/>
    <w:rsid w:val="4BB10824"/>
    <w:rsid w:val="4BC6439F"/>
    <w:rsid w:val="4BD4558D"/>
    <w:rsid w:val="4BFC5AD3"/>
    <w:rsid w:val="4CB24FE6"/>
    <w:rsid w:val="4D5C723B"/>
    <w:rsid w:val="4E116D0D"/>
    <w:rsid w:val="4E9D2B02"/>
    <w:rsid w:val="4F21770D"/>
    <w:rsid w:val="51BB6041"/>
    <w:rsid w:val="5260484D"/>
    <w:rsid w:val="526A35F4"/>
    <w:rsid w:val="546B723E"/>
    <w:rsid w:val="5491320A"/>
    <w:rsid w:val="553718AE"/>
    <w:rsid w:val="554852EC"/>
    <w:rsid w:val="555B1FD8"/>
    <w:rsid w:val="56A414F8"/>
    <w:rsid w:val="57246483"/>
    <w:rsid w:val="575E042D"/>
    <w:rsid w:val="57CE7A96"/>
    <w:rsid w:val="57E72E1F"/>
    <w:rsid w:val="587E0D61"/>
    <w:rsid w:val="59146F03"/>
    <w:rsid w:val="59482A95"/>
    <w:rsid w:val="5B93311A"/>
    <w:rsid w:val="5BB32704"/>
    <w:rsid w:val="5C0A3E7E"/>
    <w:rsid w:val="5C0C121E"/>
    <w:rsid w:val="5CEF67A6"/>
    <w:rsid w:val="5D1F7244"/>
    <w:rsid w:val="5EC22836"/>
    <w:rsid w:val="5EEE7D55"/>
    <w:rsid w:val="613714CD"/>
    <w:rsid w:val="61A44C19"/>
    <w:rsid w:val="61B86C6E"/>
    <w:rsid w:val="6255544E"/>
    <w:rsid w:val="62AB60C8"/>
    <w:rsid w:val="63B87624"/>
    <w:rsid w:val="647358CC"/>
    <w:rsid w:val="66656E47"/>
    <w:rsid w:val="671F58FE"/>
    <w:rsid w:val="67C71FBE"/>
    <w:rsid w:val="680B169B"/>
    <w:rsid w:val="683C6682"/>
    <w:rsid w:val="692F5EF1"/>
    <w:rsid w:val="6B7853D7"/>
    <w:rsid w:val="6C0630D3"/>
    <w:rsid w:val="6CE12F2E"/>
    <w:rsid w:val="6DC52C81"/>
    <w:rsid w:val="6DD53FD8"/>
    <w:rsid w:val="6DE0596E"/>
    <w:rsid w:val="6DFB28BB"/>
    <w:rsid w:val="72A3594E"/>
    <w:rsid w:val="72EB7686"/>
    <w:rsid w:val="731D5810"/>
    <w:rsid w:val="742B0D20"/>
    <w:rsid w:val="750A3F90"/>
    <w:rsid w:val="75237A6C"/>
    <w:rsid w:val="76546D48"/>
    <w:rsid w:val="76A75269"/>
    <w:rsid w:val="77637410"/>
    <w:rsid w:val="77A94D6A"/>
    <w:rsid w:val="77F638DE"/>
    <w:rsid w:val="78B466DB"/>
    <w:rsid w:val="7923642D"/>
    <w:rsid w:val="7A4D5856"/>
    <w:rsid w:val="7A4E5B2B"/>
    <w:rsid w:val="7B052B46"/>
    <w:rsid w:val="7B1D3D08"/>
    <w:rsid w:val="7C354D99"/>
    <w:rsid w:val="7C5E00D8"/>
    <w:rsid w:val="7CDD408B"/>
    <w:rsid w:val="7D98438D"/>
    <w:rsid w:val="7DBE7E94"/>
    <w:rsid w:val="7F252089"/>
    <w:rsid w:val="7FA00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qFormat="1" w:uiPriority="0" w:semiHidden="0" w:name="line number"/>
    <w:lsdException w:qFormat="1"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99" w:semiHidden="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iPriority="99" w:semiHidden="0" w:name="Body Text First Indent"/>
    <w:lsdException w:uiPriority="0" w:name="Body Text First Indent 2"/>
    <w:lsdException w:uiPriority="0" w:name="Note Heading"/>
    <w:lsdException w:qFormat="1" w:uiPriority="99" w:semiHidden="0" w:name="Body Text 2"/>
    <w:lsdException w:qFormat="1" w:uiPriority="99" w:semiHidden="0" w:name="Body Text 3"/>
    <w:lsdException w:uiPriority="0" w:name="Body Text Indent 2"/>
    <w:lsdException w:qFormat="1" w:unhideWhenUsed="0" w:uiPriority="0" w:semiHidden="0" w:name="Body Text Indent 3"/>
    <w:lsdException w:uiPriority="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3">
    <w:name w:val="heading 1"/>
    <w:basedOn w:val="1"/>
    <w:next w:val="1"/>
    <w:link w:val="4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5"/>
    <w:unhideWhenUsed/>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6"/>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unhideWhenUsed/>
    <w:qFormat/>
    <w:uiPriority w:val="9"/>
    <w:pPr>
      <w:keepNext/>
      <w:keepLines/>
      <w:spacing w:before="280" w:after="290" w:line="376" w:lineRule="auto"/>
      <w:outlineLvl w:val="3"/>
    </w:pPr>
    <w:rPr>
      <w:rFonts w:ascii="Cambria" w:hAnsi="Cambria"/>
      <w:b/>
      <w:bCs/>
      <w:sz w:val="28"/>
      <w:szCs w:val="28"/>
    </w:rPr>
  </w:style>
  <w:style w:type="character" w:default="1" w:styleId="34">
    <w:name w:val="Default Paragraph Font"/>
    <w:unhideWhenUsed/>
    <w:qFormat/>
    <w:uiPriority w:val="1"/>
  </w:style>
  <w:style w:type="table" w:default="1" w:styleId="41">
    <w:name w:val="Normal Table"/>
    <w:unhideWhenUsed/>
    <w:qFormat/>
    <w:uiPriority w:val="99"/>
    <w:tblPr>
      <w:tblLayout w:type="fixed"/>
      <w:tblCellMar>
        <w:top w:w="0" w:type="dxa"/>
        <w:left w:w="108" w:type="dxa"/>
        <w:bottom w:w="0" w:type="dxa"/>
        <w:right w:w="108" w:type="dxa"/>
      </w:tblCellMar>
    </w:tblPr>
  </w:style>
  <w:style w:type="paragraph" w:customStyle="1" w:styleId="2">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7">
    <w:name w:val="annotation subject"/>
    <w:basedOn w:val="8"/>
    <w:next w:val="8"/>
    <w:link w:val="49"/>
    <w:unhideWhenUsed/>
    <w:qFormat/>
    <w:uiPriority w:val="99"/>
    <w:pPr>
      <w:widowControl/>
      <w:adjustRightInd w:val="0"/>
      <w:snapToGrid w:val="0"/>
      <w:spacing w:after="200"/>
    </w:pPr>
    <w:rPr>
      <w:rFonts w:ascii="Tahoma" w:hAnsi="Tahoma"/>
      <w:b/>
      <w:bCs/>
      <w:kern w:val="0"/>
      <w:sz w:val="22"/>
    </w:rPr>
  </w:style>
  <w:style w:type="paragraph" w:styleId="8">
    <w:name w:val="annotation text"/>
    <w:basedOn w:val="1"/>
    <w:link w:val="48"/>
    <w:qFormat/>
    <w:uiPriority w:val="99"/>
  </w:style>
  <w:style w:type="paragraph" w:styleId="9">
    <w:name w:val="toc 7"/>
    <w:basedOn w:val="1"/>
    <w:next w:val="1"/>
    <w:unhideWhenUsed/>
    <w:qFormat/>
    <w:uiPriority w:val="39"/>
    <w:pPr>
      <w:ind w:left="2520" w:leftChars="1200"/>
    </w:pPr>
  </w:style>
  <w:style w:type="paragraph" w:styleId="10">
    <w:name w:val="Body Text First Indent"/>
    <w:basedOn w:val="11"/>
    <w:link w:val="51"/>
    <w:unhideWhenUsed/>
    <w:qFormat/>
    <w:uiPriority w:val="99"/>
    <w:pPr>
      <w:ind w:firstLine="420" w:firstLineChars="100"/>
    </w:pPr>
  </w:style>
  <w:style w:type="paragraph" w:styleId="11">
    <w:name w:val="Body Text"/>
    <w:basedOn w:val="1"/>
    <w:link w:val="50"/>
    <w:unhideWhenUsed/>
    <w:qFormat/>
    <w:uiPriority w:val="99"/>
    <w:pPr>
      <w:spacing w:after="120"/>
    </w:pPr>
  </w:style>
  <w:style w:type="paragraph" w:styleId="12">
    <w:name w:val="Normal Indent"/>
    <w:basedOn w:val="1"/>
    <w:link w:val="52"/>
    <w:qFormat/>
    <w:uiPriority w:val="0"/>
    <w:pPr>
      <w:ind w:firstLine="420"/>
    </w:pPr>
    <w:rPr>
      <w:rFonts w:ascii="仿宋_GB2312"/>
      <w:szCs w:val="24"/>
    </w:rPr>
  </w:style>
  <w:style w:type="paragraph" w:styleId="13">
    <w:name w:val="Document Map"/>
    <w:basedOn w:val="1"/>
    <w:link w:val="53"/>
    <w:unhideWhenUsed/>
    <w:qFormat/>
    <w:uiPriority w:val="99"/>
    <w:rPr>
      <w:rFonts w:ascii="宋体"/>
      <w:sz w:val="18"/>
      <w:szCs w:val="18"/>
    </w:rPr>
  </w:style>
  <w:style w:type="paragraph" w:styleId="14">
    <w:name w:val="Body Text 3"/>
    <w:basedOn w:val="1"/>
    <w:link w:val="54"/>
    <w:unhideWhenUsed/>
    <w:qFormat/>
    <w:uiPriority w:val="99"/>
    <w:pPr>
      <w:spacing w:after="120"/>
    </w:pPr>
    <w:rPr>
      <w:sz w:val="16"/>
      <w:szCs w:val="16"/>
    </w:rPr>
  </w:style>
  <w:style w:type="paragraph" w:styleId="15">
    <w:name w:val="toc 5"/>
    <w:basedOn w:val="1"/>
    <w:next w:val="1"/>
    <w:unhideWhenUsed/>
    <w:qFormat/>
    <w:uiPriority w:val="39"/>
    <w:pPr>
      <w:ind w:left="1680" w:leftChars="800"/>
    </w:pPr>
  </w:style>
  <w:style w:type="paragraph" w:styleId="16">
    <w:name w:val="toc 3"/>
    <w:basedOn w:val="1"/>
    <w:next w:val="1"/>
    <w:unhideWhenUsed/>
    <w:qFormat/>
    <w:uiPriority w:val="39"/>
    <w:pPr>
      <w:ind w:left="840" w:leftChars="400"/>
    </w:pPr>
  </w:style>
  <w:style w:type="paragraph" w:styleId="17">
    <w:name w:val="Plain Text"/>
    <w:basedOn w:val="1"/>
    <w:link w:val="55"/>
    <w:qFormat/>
    <w:uiPriority w:val="0"/>
    <w:rPr>
      <w:rFonts w:ascii="宋体" w:hAnsi="Courier New"/>
    </w:rPr>
  </w:style>
  <w:style w:type="paragraph" w:styleId="18">
    <w:name w:val="toc 8"/>
    <w:basedOn w:val="1"/>
    <w:next w:val="1"/>
    <w:unhideWhenUsed/>
    <w:qFormat/>
    <w:uiPriority w:val="39"/>
    <w:pPr>
      <w:ind w:left="2940" w:leftChars="1400"/>
    </w:pPr>
  </w:style>
  <w:style w:type="paragraph" w:styleId="19">
    <w:name w:val="Date"/>
    <w:basedOn w:val="1"/>
    <w:next w:val="1"/>
    <w:link w:val="56"/>
    <w:unhideWhenUsed/>
    <w:qFormat/>
    <w:uiPriority w:val="99"/>
    <w:pPr>
      <w:ind w:left="100" w:leftChars="2500"/>
    </w:pPr>
  </w:style>
  <w:style w:type="paragraph" w:styleId="20">
    <w:name w:val="Balloon Text"/>
    <w:basedOn w:val="1"/>
    <w:link w:val="57"/>
    <w:unhideWhenUsed/>
    <w:qFormat/>
    <w:uiPriority w:val="99"/>
    <w:rPr>
      <w:sz w:val="18"/>
      <w:szCs w:val="18"/>
    </w:rPr>
  </w:style>
  <w:style w:type="paragraph" w:styleId="21">
    <w:name w:val="footer"/>
    <w:basedOn w:val="1"/>
    <w:link w:val="58"/>
    <w:unhideWhenUsed/>
    <w:qFormat/>
    <w:uiPriority w:val="99"/>
    <w:pPr>
      <w:tabs>
        <w:tab w:val="center" w:pos="4153"/>
        <w:tab w:val="right" w:pos="8306"/>
      </w:tabs>
    </w:pPr>
    <w:rPr>
      <w:sz w:val="18"/>
      <w:szCs w:val="18"/>
    </w:rPr>
  </w:style>
  <w:style w:type="paragraph" w:styleId="22">
    <w:name w:val="header"/>
    <w:basedOn w:val="1"/>
    <w:link w:val="59"/>
    <w:unhideWhenUsed/>
    <w:qFormat/>
    <w:uiPriority w:val="99"/>
    <w:pPr>
      <w:pBdr>
        <w:bottom w:val="single" w:color="auto" w:sz="6" w:space="1"/>
      </w:pBdr>
      <w:tabs>
        <w:tab w:val="center" w:pos="4153"/>
        <w:tab w:val="right" w:pos="8306"/>
      </w:tabs>
      <w:jc w:val="center"/>
    </w:pPr>
    <w:rPr>
      <w:sz w:val="18"/>
      <w:szCs w:val="18"/>
    </w:rPr>
  </w:style>
  <w:style w:type="paragraph" w:styleId="23">
    <w:name w:val="toc 1"/>
    <w:basedOn w:val="1"/>
    <w:next w:val="1"/>
    <w:qFormat/>
    <w:uiPriority w:val="39"/>
    <w:pPr>
      <w:spacing w:before="120" w:after="120"/>
    </w:pPr>
    <w:rPr>
      <w:rFonts w:ascii="Times New Roman" w:hAnsi="Times New Roman" w:cs="Times New Roman"/>
      <w:b/>
      <w:bCs/>
      <w:caps/>
      <w:sz w:val="20"/>
      <w:szCs w:val="20"/>
    </w:rPr>
  </w:style>
  <w:style w:type="paragraph" w:styleId="24">
    <w:name w:val="toc 4"/>
    <w:basedOn w:val="1"/>
    <w:next w:val="1"/>
    <w:unhideWhenUsed/>
    <w:qFormat/>
    <w:uiPriority w:val="39"/>
    <w:pPr>
      <w:ind w:left="1260" w:leftChars="600"/>
    </w:pPr>
  </w:style>
  <w:style w:type="paragraph" w:styleId="25">
    <w:name w:val="List"/>
    <w:basedOn w:val="1"/>
    <w:unhideWhenUsed/>
    <w:qFormat/>
    <w:uiPriority w:val="99"/>
    <w:pPr>
      <w:ind w:left="200" w:hanging="200" w:hangingChars="200"/>
    </w:pPr>
    <w:rPr>
      <w:rFonts w:ascii="Times New Roman" w:hAnsi="Times New Roman" w:cs="Times New Roman"/>
      <w:szCs w:val="24"/>
    </w:rPr>
  </w:style>
  <w:style w:type="paragraph" w:styleId="26">
    <w:name w:val="toc 6"/>
    <w:basedOn w:val="1"/>
    <w:next w:val="1"/>
    <w:unhideWhenUsed/>
    <w:qFormat/>
    <w:uiPriority w:val="39"/>
    <w:pPr>
      <w:ind w:left="2100" w:leftChars="1000"/>
    </w:pPr>
  </w:style>
  <w:style w:type="paragraph" w:styleId="27">
    <w:name w:val="Body Text Indent 3"/>
    <w:basedOn w:val="1"/>
    <w:link w:val="60"/>
    <w:qFormat/>
    <w:uiPriority w:val="0"/>
    <w:pPr>
      <w:spacing w:line="520" w:lineRule="exact"/>
      <w:ind w:firstLine="640" w:firstLineChars="200"/>
    </w:pPr>
    <w:rPr>
      <w:rFonts w:ascii="Times New Roman" w:hAnsi="Times New Roman" w:eastAsia="楷体_GB2312" w:cs="Times New Roman"/>
      <w:sz w:val="32"/>
      <w:szCs w:val="20"/>
    </w:rPr>
  </w:style>
  <w:style w:type="paragraph" w:styleId="28">
    <w:name w:val="toc 2"/>
    <w:basedOn w:val="1"/>
    <w:next w:val="1"/>
    <w:unhideWhenUsed/>
    <w:qFormat/>
    <w:uiPriority w:val="39"/>
    <w:pPr>
      <w:ind w:left="420" w:leftChars="200"/>
    </w:pPr>
  </w:style>
  <w:style w:type="paragraph" w:styleId="29">
    <w:name w:val="toc 9"/>
    <w:basedOn w:val="1"/>
    <w:next w:val="1"/>
    <w:unhideWhenUsed/>
    <w:qFormat/>
    <w:uiPriority w:val="39"/>
    <w:pPr>
      <w:ind w:left="3360" w:leftChars="1600"/>
    </w:pPr>
  </w:style>
  <w:style w:type="paragraph" w:styleId="30">
    <w:name w:val="Body Text 2"/>
    <w:basedOn w:val="1"/>
    <w:link w:val="61"/>
    <w:unhideWhenUsed/>
    <w:qFormat/>
    <w:uiPriority w:val="99"/>
    <w:pPr>
      <w:spacing w:after="120" w:line="480" w:lineRule="auto"/>
    </w:pPr>
  </w:style>
  <w:style w:type="paragraph" w:styleId="31">
    <w:name w:val="HTML Preformatted"/>
    <w:basedOn w:val="1"/>
    <w:link w:val="62"/>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32">
    <w:name w:val="Normal (Web)"/>
    <w:basedOn w:val="1"/>
    <w:unhideWhenUsed/>
    <w:qFormat/>
    <w:uiPriority w:val="99"/>
    <w:pPr>
      <w:spacing w:before="100" w:beforeAutospacing="1" w:after="100" w:afterAutospacing="1"/>
    </w:pPr>
    <w:rPr>
      <w:rFonts w:ascii="宋体" w:hAnsi="宋体" w:cs="宋体"/>
      <w:sz w:val="24"/>
      <w:szCs w:val="24"/>
    </w:rPr>
  </w:style>
  <w:style w:type="paragraph" w:styleId="33">
    <w:name w:val="Title"/>
    <w:basedOn w:val="1"/>
    <w:next w:val="1"/>
    <w:link w:val="153"/>
    <w:qFormat/>
    <w:uiPriority w:val="10"/>
    <w:pPr>
      <w:jc w:val="center"/>
      <w:outlineLvl w:val="0"/>
    </w:pPr>
    <w:rPr>
      <w:rFonts w:ascii="Times New Roman" w:hAnsi="Times New Roman" w:cs="Times New Roman"/>
      <w:b/>
      <w:bCs/>
      <w:sz w:val="24"/>
      <w:szCs w:val="32"/>
    </w:rPr>
  </w:style>
  <w:style w:type="character" w:styleId="35">
    <w:name w:val="Strong"/>
    <w:basedOn w:val="34"/>
    <w:qFormat/>
    <w:uiPriority w:val="22"/>
    <w:rPr>
      <w:b/>
      <w:bCs/>
    </w:rPr>
  </w:style>
  <w:style w:type="character" w:styleId="36">
    <w:name w:val="page number"/>
    <w:basedOn w:val="34"/>
    <w:unhideWhenUsed/>
    <w:qFormat/>
    <w:uiPriority w:val="99"/>
  </w:style>
  <w:style w:type="character" w:styleId="37">
    <w:name w:val="Emphasis"/>
    <w:basedOn w:val="34"/>
    <w:qFormat/>
    <w:uiPriority w:val="20"/>
    <w:rPr>
      <w:i/>
      <w:iCs/>
    </w:rPr>
  </w:style>
  <w:style w:type="character" w:styleId="38">
    <w:name w:val="line number"/>
    <w:basedOn w:val="34"/>
    <w:unhideWhenUsed/>
    <w:qFormat/>
    <w:uiPriority w:val="0"/>
  </w:style>
  <w:style w:type="character" w:styleId="39">
    <w:name w:val="Hyperlink"/>
    <w:basedOn w:val="34"/>
    <w:unhideWhenUsed/>
    <w:qFormat/>
    <w:uiPriority w:val="99"/>
    <w:rPr>
      <w:color w:val="0000FF"/>
      <w:u w:val="single"/>
    </w:rPr>
  </w:style>
  <w:style w:type="character" w:styleId="40">
    <w:name w:val="annotation reference"/>
    <w:basedOn w:val="34"/>
    <w:unhideWhenUsed/>
    <w:qFormat/>
    <w:uiPriority w:val="99"/>
    <w:rPr>
      <w:sz w:val="21"/>
      <w:szCs w:val="21"/>
    </w:rPr>
  </w:style>
  <w:style w:type="table" w:styleId="42">
    <w:name w:val="Table Grid"/>
    <w:basedOn w:val="4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43">
    <w:name w:val="一级标题"/>
    <w:basedOn w:val="3"/>
    <w:next w:val="1"/>
    <w:link w:val="135"/>
    <w:qFormat/>
    <w:uiPriority w:val="0"/>
    <w:pPr>
      <w:pageBreakBefore/>
      <w:numPr>
        <w:ilvl w:val="0"/>
        <w:numId w:val="1"/>
      </w:numPr>
      <w:spacing w:before="0" w:after="0" w:line="360" w:lineRule="auto"/>
      <w:jc w:val="center"/>
    </w:pPr>
    <w:rPr>
      <w:rFonts w:ascii="仿宋" w:hAnsi="仿宋" w:eastAsia="仿宋"/>
      <w:sz w:val="32"/>
    </w:rPr>
  </w:style>
  <w:style w:type="character" w:customStyle="1" w:styleId="44">
    <w:name w:val="标题 1 字符"/>
    <w:basedOn w:val="34"/>
    <w:link w:val="3"/>
    <w:qFormat/>
    <w:uiPriority w:val="9"/>
    <w:rPr>
      <w:b/>
      <w:bCs/>
      <w:kern w:val="44"/>
      <w:sz w:val="44"/>
      <w:szCs w:val="44"/>
    </w:rPr>
  </w:style>
  <w:style w:type="character" w:customStyle="1" w:styleId="45">
    <w:name w:val="标题 2 字符"/>
    <w:basedOn w:val="34"/>
    <w:link w:val="4"/>
    <w:qFormat/>
    <w:uiPriority w:val="0"/>
    <w:rPr>
      <w:rFonts w:ascii="Cambria" w:hAnsi="Cambria" w:eastAsia="宋体" w:cs="黑体"/>
      <w:b/>
      <w:bCs/>
      <w:sz w:val="32"/>
      <w:szCs w:val="32"/>
    </w:rPr>
  </w:style>
  <w:style w:type="character" w:customStyle="1" w:styleId="46">
    <w:name w:val="标题 3 字符"/>
    <w:basedOn w:val="34"/>
    <w:link w:val="5"/>
    <w:qFormat/>
    <w:uiPriority w:val="9"/>
    <w:rPr>
      <w:b/>
      <w:bCs/>
      <w:sz w:val="32"/>
      <w:szCs w:val="32"/>
    </w:rPr>
  </w:style>
  <w:style w:type="character" w:customStyle="1" w:styleId="47">
    <w:name w:val="标题 4 字符"/>
    <w:basedOn w:val="34"/>
    <w:link w:val="6"/>
    <w:qFormat/>
    <w:uiPriority w:val="9"/>
    <w:rPr>
      <w:rFonts w:ascii="Cambria" w:hAnsi="Cambria" w:eastAsia="宋体" w:cs="黑体"/>
      <w:b/>
      <w:bCs/>
      <w:sz w:val="28"/>
      <w:szCs w:val="28"/>
    </w:rPr>
  </w:style>
  <w:style w:type="character" w:customStyle="1" w:styleId="48">
    <w:name w:val="批注文字 字符"/>
    <w:basedOn w:val="34"/>
    <w:link w:val="8"/>
    <w:qFormat/>
    <w:uiPriority w:val="99"/>
    <w:rPr>
      <w:kern w:val="2"/>
      <w:sz w:val="21"/>
    </w:rPr>
  </w:style>
  <w:style w:type="character" w:customStyle="1" w:styleId="49">
    <w:name w:val="批注主题 字符"/>
    <w:basedOn w:val="48"/>
    <w:link w:val="7"/>
    <w:qFormat/>
    <w:uiPriority w:val="99"/>
    <w:rPr>
      <w:rFonts w:ascii="Tahoma" w:hAnsi="Tahoma"/>
      <w:b/>
      <w:bCs/>
      <w:kern w:val="2"/>
      <w:sz w:val="21"/>
    </w:rPr>
  </w:style>
  <w:style w:type="character" w:customStyle="1" w:styleId="50">
    <w:name w:val="正文文本 字符"/>
    <w:basedOn w:val="34"/>
    <w:link w:val="11"/>
    <w:semiHidden/>
    <w:qFormat/>
    <w:uiPriority w:val="99"/>
    <w:rPr>
      <w:rFonts w:ascii="Tahoma" w:hAnsi="Tahoma"/>
    </w:rPr>
  </w:style>
  <w:style w:type="character" w:customStyle="1" w:styleId="51">
    <w:name w:val="正文文本首行缩进 字符"/>
    <w:basedOn w:val="50"/>
    <w:link w:val="10"/>
    <w:qFormat/>
    <w:uiPriority w:val="99"/>
    <w:rPr>
      <w:rFonts w:ascii="Tahoma" w:hAnsi="Tahoma"/>
    </w:rPr>
  </w:style>
  <w:style w:type="character" w:customStyle="1" w:styleId="52">
    <w:name w:val="正文缩进 字符"/>
    <w:basedOn w:val="34"/>
    <w:link w:val="12"/>
    <w:qFormat/>
    <w:uiPriority w:val="0"/>
    <w:rPr>
      <w:rFonts w:ascii="仿宋_GB2312" w:eastAsia="宋体"/>
      <w:szCs w:val="24"/>
    </w:rPr>
  </w:style>
  <w:style w:type="character" w:customStyle="1" w:styleId="53">
    <w:name w:val="文档结构图 字符"/>
    <w:basedOn w:val="34"/>
    <w:link w:val="13"/>
    <w:qFormat/>
    <w:uiPriority w:val="99"/>
    <w:rPr>
      <w:rFonts w:ascii="宋体" w:hAnsi="Tahoma" w:eastAsia="宋体"/>
      <w:sz w:val="18"/>
      <w:szCs w:val="18"/>
    </w:rPr>
  </w:style>
  <w:style w:type="character" w:customStyle="1" w:styleId="54">
    <w:name w:val="正文文本 3 字符"/>
    <w:basedOn w:val="34"/>
    <w:link w:val="14"/>
    <w:qFormat/>
    <w:uiPriority w:val="99"/>
    <w:rPr>
      <w:rFonts w:ascii="Tahoma" w:hAnsi="Tahoma"/>
      <w:sz w:val="16"/>
      <w:szCs w:val="16"/>
    </w:rPr>
  </w:style>
  <w:style w:type="character" w:customStyle="1" w:styleId="55">
    <w:name w:val="纯文本 字符"/>
    <w:basedOn w:val="34"/>
    <w:link w:val="17"/>
    <w:qFormat/>
    <w:uiPriority w:val="0"/>
    <w:rPr>
      <w:rFonts w:ascii="宋体" w:hAnsi="Courier New" w:eastAsia="宋体"/>
      <w:kern w:val="2"/>
      <w:sz w:val="21"/>
    </w:rPr>
  </w:style>
  <w:style w:type="character" w:customStyle="1" w:styleId="56">
    <w:name w:val="日期 字符"/>
    <w:basedOn w:val="34"/>
    <w:link w:val="19"/>
    <w:qFormat/>
    <w:uiPriority w:val="99"/>
    <w:rPr>
      <w:rFonts w:ascii="Tahoma" w:hAnsi="Tahoma"/>
    </w:rPr>
  </w:style>
  <w:style w:type="character" w:customStyle="1" w:styleId="57">
    <w:name w:val="批注框文本 字符"/>
    <w:basedOn w:val="34"/>
    <w:link w:val="20"/>
    <w:qFormat/>
    <w:uiPriority w:val="99"/>
    <w:rPr>
      <w:rFonts w:ascii="Tahoma" w:hAnsi="Tahoma"/>
      <w:sz w:val="18"/>
      <w:szCs w:val="18"/>
    </w:rPr>
  </w:style>
  <w:style w:type="character" w:customStyle="1" w:styleId="58">
    <w:name w:val="页脚 字符"/>
    <w:basedOn w:val="34"/>
    <w:link w:val="21"/>
    <w:qFormat/>
    <w:uiPriority w:val="99"/>
    <w:rPr>
      <w:rFonts w:ascii="Tahoma" w:hAnsi="Tahoma"/>
      <w:sz w:val="18"/>
      <w:szCs w:val="18"/>
    </w:rPr>
  </w:style>
  <w:style w:type="character" w:customStyle="1" w:styleId="59">
    <w:name w:val="页眉 字符"/>
    <w:basedOn w:val="34"/>
    <w:link w:val="22"/>
    <w:qFormat/>
    <w:uiPriority w:val="99"/>
    <w:rPr>
      <w:rFonts w:ascii="Tahoma" w:hAnsi="Tahoma"/>
      <w:sz w:val="18"/>
      <w:szCs w:val="18"/>
    </w:rPr>
  </w:style>
  <w:style w:type="character" w:customStyle="1" w:styleId="60">
    <w:name w:val="正文文本缩进 3 字符"/>
    <w:basedOn w:val="34"/>
    <w:link w:val="27"/>
    <w:qFormat/>
    <w:uiPriority w:val="0"/>
    <w:rPr>
      <w:rFonts w:ascii="Times New Roman" w:hAnsi="Times New Roman" w:eastAsia="楷体_GB2312" w:cs="Times New Roman"/>
      <w:kern w:val="2"/>
      <w:sz w:val="32"/>
      <w:szCs w:val="20"/>
    </w:rPr>
  </w:style>
  <w:style w:type="character" w:customStyle="1" w:styleId="61">
    <w:name w:val="正文文本 2 字符"/>
    <w:basedOn w:val="34"/>
    <w:link w:val="30"/>
    <w:qFormat/>
    <w:uiPriority w:val="99"/>
    <w:rPr>
      <w:rFonts w:ascii="Tahoma" w:hAnsi="Tahoma"/>
    </w:rPr>
  </w:style>
  <w:style w:type="character" w:customStyle="1" w:styleId="62">
    <w:name w:val="HTML 预设格式 字符"/>
    <w:basedOn w:val="34"/>
    <w:link w:val="31"/>
    <w:qFormat/>
    <w:uiPriority w:val="99"/>
    <w:rPr>
      <w:rFonts w:ascii="宋体" w:hAnsi="宋体" w:eastAsia="宋体" w:cs="宋体"/>
      <w:kern w:val="0"/>
      <w:sz w:val="24"/>
      <w:szCs w:val="24"/>
    </w:rPr>
  </w:style>
  <w:style w:type="paragraph" w:customStyle="1" w:styleId="63">
    <w:name w:val="Char Char Char Char Char Char Char"/>
    <w:basedOn w:val="1"/>
    <w:qFormat/>
    <w:uiPriority w:val="0"/>
    <w:pPr>
      <w:spacing w:after="160" w:line="240" w:lineRule="exact"/>
    </w:pPr>
    <w:rPr>
      <w:rFonts w:ascii="Times New Roman" w:hAnsi="Times New Roman" w:cs="Times New Roman"/>
      <w:szCs w:val="24"/>
    </w:rPr>
  </w:style>
  <w:style w:type="paragraph" w:customStyle="1" w:styleId="64">
    <w:name w:val="列出段落1"/>
    <w:basedOn w:val="1"/>
    <w:qFormat/>
    <w:uiPriority w:val="34"/>
    <w:pPr>
      <w:ind w:firstLine="420" w:firstLineChars="200"/>
    </w:pPr>
  </w:style>
  <w:style w:type="paragraph" w:customStyle="1" w:styleId="65">
    <w:name w:val="正文(首行缩进)"/>
    <w:basedOn w:val="1"/>
    <w:next w:val="1"/>
    <w:link w:val="66"/>
    <w:qFormat/>
    <w:uiPriority w:val="0"/>
    <w:pPr>
      <w:spacing w:line="360" w:lineRule="auto"/>
      <w:ind w:firstLine="540" w:firstLineChars="225"/>
    </w:pPr>
    <w:rPr>
      <w:snapToGrid w:val="0"/>
      <w:color w:val="000000"/>
      <w:sz w:val="24"/>
      <w:szCs w:val="24"/>
    </w:rPr>
  </w:style>
  <w:style w:type="character" w:customStyle="1" w:styleId="66">
    <w:name w:val="正文(首行缩进) Char"/>
    <w:basedOn w:val="34"/>
    <w:link w:val="65"/>
    <w:qFormat/>
    <w:uiPriority w:val="0"/>
    <w:rPr>
      <w:rFonts w:eastAsia="宋体"/>
      <w:snapToGrid w:val="0"/>
      <w:color w:val="000000"/>
      <w:sz w:val="24"/>
      <w:szCs w:val="24"/>
    </w:rPr>
  </w:style>
  <w:style w:type="paragraph" w:customStyle="1" w:styleId="67">
    <w:name w:val="表格"/>
    <w:link w:val="68"/>
    <w:qFormat/>
    <w:uiPriority w:val="0"/>
    <w:pPr>
      <w:ind w:left="-50" w:leftChars="-50" w:right="-50" w:rightChars="-50"/>
      <w:jc w:val="center"/>
    </w:pPr>
    <w:rPr>
      <w:rFonts w:ascii="Times New Roman" w:hAnsi="Times New Roman" w:eastAsia="宋体" w:cs="Times New Roman"/>
      <w:bCs/>
      <w:szCs w:val="28"/>
      <w:lang w:val="en-US" w:eastAsia="zh-CN" w:bidi="ar-SA"/>
    </w:rPr>
  </w:style>
  <w:style w:type="character" w:customStyle="1" w:styleId="68">
    <w:name w:val="表格 Char"/>
    <w:basedOn w:val="34"/>
    <w:link w:val="67"/>
    <w:qFormat/>
    <w:uiPriority w:val="0"/>
    <w:rPr>
      <w:bCs/>
      <w:szCs w:val="28"/>
      <w:lang w:val="en-US" w:eastAsia="zh-CN" w:bidi="ar-SA"/>
    </w:rPr>
  </w:style>
  <w:style w:type="paragraph" w:customStyle="1" w:styleId="69">
    <w:name w:val="段落"/>
    <w:basedOn w:val="1"/>
    <w:link w:val="70"/>
    <w:qFormat/>
    <w:uiPriority w:val="0"/>
    <w:pPr>
      <w:tabs>
        <w:tab w:val="left" w:pos="1320"/>
      </w:tabs>
      <w:spacing w:line="360" w:lineRule="auto"/>
      <w:ind w:firstLine="504" w:firstLineChars="200"/>
    </w:pPr>
    <w:rPr>
      <w:rFonts w:ascii="Times New Roman" w:hAnsi="Times New Roman" w:cs="Times New Roman"/>
      <w:spacing w:val="6"/>
      <w:kern w:val="24"/>
      <w:szCs w:val="24"/>
    </w:rPr>
  </w:style>
  <w:style w:type="character" w:customStyle="1" w:styleId="70">
    <w:name w:val="段落 Char"/>
    <w:link w:val="69"/>
    <w:qFormat/>
    <w:uiPriority w:val="0"/>
    <w:rPr>
      <w:rFonts w:eastAsia="宋体"/>
      <w:spacing w:val="6"/>
      <w:kern w:val="24"/>
      <w:sz w:val="21"/>
      <w:szCs w:val="24"/>
    </w:rPr>
  </w:style>
  <w:style w:type="paragraph" w:customStyle="1" w:styleId="71">
    <w:name w:val="主体"/>
    <w:link w:val="72"/>
    <w:qFormat/>
    <w:uiPriority w:val="0"/>
    <w:pPr>
      <w:widowControl w:val="0"/>
      <w:autoSpaceDE w:val="0"/>
      <w:autoSpaceDN w:val="0"/>
      <w:spacing w:line="440" w:lineRule="exact"/>
      <w:ind w:firstLine="480" w:firstLineChars="200"/>
      <w:jc w:val="both"/>
    </w:pPr>
    <w:rPr>
      <w:rFonts w:ascii="Times New Roman" w:hAnsi="Times New Roman" w:eastAsia="仿宋_GB2312" w:cs="Times New Roman"/>
      <w:bCs/>
      <w:kern w:val="2"/>
      <w:sz w:val="24"/>
      <w:szCs w:val="24"/>
      <w:lang w:val="en-US" w:eastAsia="zh-CN" w:bidi="ar-SA"/>
    </w:rPr>
  </w:style>
  <w:style w:type="character" w:customStyle="1" w:styleId="72">
    <w:name w:val="主体 Char Char"/>
    <w:link w:val="71"/>
    <w:qFormat/>
    <w:uiPriority w:val="0"/>
    <w:rPr>
      <w:rFonts w:eastAsia="仿宋_GB2312"/>
      <w:bCs/>
      <w:kern w:val="2"/>
      <w:sz w:val="24"/>
      <w:szCs w:val="24"/>
      <w:lang w:bidi="ar-SA"/>
    </w:rPr>
  </w:style>
  <w:style w:type="paragraph" w:customStyle="1" w:styleId="73">
    <w:name w:val="reader-word-layer reader-word-s27-4"/>
    <w:basedOn w:val="1"/>
    <w:qFormat/>
    <w:uiPriority w:val="0"/>
    <w:pPr>
      <w:spacing w:before="100" w:beforeAutospacing="1" w:after="100" w:afterAutospacing="1"/>
    </w:pPr>
    <w:rPr>
      <w:rFonts w:ascii="宋体" w:hAnsi="宋体" w:cs="宋体"/>
      <w:sz w:val="24"/>
      <w:szCs w:val="24"/>
    </w:rPr>
  </w:style>
  <w:style w:type="paragraph" w:customStyle="1" w:styleId="74">
    <w:name w:val="reader-word-layer reader-word-s27-6"/>
    <w:basedOn w:val="1"/>
    <w:qFormat/>
    <w:uiPriority w:val="0"/>
    <w:pPr>
      <w:spacing w:before="100" w:beforeAutospacing="1" w:after="100" w:afterAutospacing="1"/>
    </w:pPr>
    <w:rPr>
      <w:rFonts w:ascii="宋体" w:hAnsi="宋体" w:cs="宋体"/>
      <w:sz w:val="24"/>
      <w:szCs w:val="24"/>
    </w:rPr>
  </w:style>
  <w:style w:type="paragraph" w:customStyle="1" w:styleId="75">
    <w:name w:val="reader-word-layer reader-word-s28-6"/>
    <w:basedOn w:val="1"/>
    <w:qFormat/>
    <w:uiPriority w:val="0"/>
    <w:pPr>
      <w:spacing w:before="100" w:beforeAutospacing="1" w:after="100" w:afterAutospacing="1"/>
    </w:pPr>
    <w:rPr>
      <w:rFonts w:ascii="宋体" w:hAnsi="宋体" w:cs="宋体"/>
      <w:sz w:val="24"/>
      <w:szCs w:val="24"/>
    </w:rPr>
  </w:style>
  <w:style w:type="paragraph" w:customStyle="1" w:styleId="76">
    <w:name w:val="reader-word-layer reader-word-s28-12"/>
    <w:basedOn w:val="1"/>
    <w:qFormat/>
    <w:uiPriority w:val="0"/>
    <w:pPr>
      <w:spacing w:before="100" w:beforeAutospacing="1" w:after="100" w:afterAutospacing="1"/>
    </w:pPr>
    <w:rPr>
      <w:rFonts w:ascii="宋体" w:hAnsi="宋体" w:cs="宋体"/>
      <w:sz w:val="24"/>
      <w:szCs w:val="24"/>
    </w:rPr>
  </w:style>
  <w:style w:type="paragraph" w:customStyle="1" w:styleId="77">
    <w:name w:val="表中文字"/>
    <w:basedOn w:val="1"/>
    <w:qFormat/>
    <w:uiPriority w:val="0"/>
    <w:pPr>
      <w:tabs>
        <w:tab w:val="left" w:pos="2700"/>
      </w:tabs>
      <w:spacing w:line="360" w:lineRule="exact"/>
      <w:jc w:val="center"/>
    </w:pPr>
    <w:rPr>
      <w:rFonts w:ascii="Arial" w:hAnsi="Arial" w:cs="Times New Roman"/>
      <w:sz w:val="24"/>
      <w:szCs w:val="21"/>
    </w:rPr>
  </w:style>
  <w:style w:type="paragraph" w:customStyle="1" w:styleId="78">
    <w:name w:val="报告正文"/>
    <w:basedOn w:val="1"/>
    <w:qFormat/>
    <w:uiPriority w:val="0"/>
    <w:pPr>
      <w:spacing w:line="360" w:lineRule="auto"/>
      <w:ind w:firstLine="200" w:firstLineChars="200"/>
    </w:pPr>
    <w:rPr>
      <w:rFonts w:ascii="宋体" w:hAnsi="Times New Roman" w:cs="Times New Roman"/>
      <w:sz w:val="24"/>
      <w:szCs w:val="20"/>
    </w:rPr>
  </w:style>
  <w:style w:type="paragraph" w:customStyle="1" w:styleId="79">
    <w:name w:val="正文（用）"/>
    <w:basedOn w:val="1"/>
    <w:qFormat/>
    <w:uiPriority w:val="0"/>
    <w:pPr>
      <w:spacing w:line="360" w:lineRule="auto"/>
      <w:ind w:firstLine="480" w:firstLineChars="200"/>
    </w:pPr>
    <w:rPr>
      <w:rFonts w:ascii="宋体" w:hAnsi="宋体" w:cs="宋体"/>
      <w:sz w:val="24"/>
      <w:szCs w:val="20"/>
    </w:rPr>
  </w:style>
  <w:style w:type="paragraph" w:customStyle="1" w:styleId="80">
    <w:name w:val="文本"/>
    <w:qFormat/>
    <w:uiPriority w:val="0"/>
    <w:pPr>
      <w:widowControl w:val="0"/>
      <w:spacing w:line="360" w:lineRule="auto"/>
      <w:ind w:firstLine="200" w:firstLineChars="200"/>
      <w:jc w:val="both"/>
    </w:pPr>
    <w:rPr>
      <w:rFonts w:ascii="宋体" w:hAnsi="Times New Roman" w:eastAsia="宋体" w:cs="Times New Roman"/>
      <w:sz w:val="24"/>
      <w:szCs w:val="24"/>
      <w:lang w:val="en-US" w:eastAsia="zh-CN" w:bidi="ar-SA"/>
    </w:rPr>
  </w:style>
  <w:style w:type="paragraph" w:customStyle="1" w:styleId="81">
    <w:name w:val="lifr正文"/>
    <w:basedOn w:val="1"/>
    <w:qFormat/>
    <w:uiPriority w:val="0"/>
    <w:pPr>
      <w:spacing w:line="360" w:lineRule="auto"/>
      <w:ind w:firstLine="200" w:firstLineChars="200"/>
    </w:pPr>
    <w:rPr>
      <w:rFonts w:ascii="Times New Roman" w:hAnsi="Times New Roman" w:cs="Times New Roman"/>
      <w:sz w:val="24"/>
      <w:szCs w:val="24"/>
    </w:rPr>
  </w:style>
  <w:style w:type="paragraph" w:customStyle="1" w:styleId="82">
    <w:name w:val="Char Char Char Char Char Char Char13"/>
    <w:basedOn w:val="1"/>
    <w:qFormat/>
    <w:uiPriority w:val="0"/>
    <w:pPr>
      <w:spacing w:after="160" w:line="240" w:lineRule="exact"/>
    </w:pPr>
    <w:rPr>
      <w:rFonts w:ascii="Times New Roman" w:hAnsi="Times New Roman" w:cs="Times New Roman"/>
      <w:szCs w:val="24"/>
    </w:rPr>
  </w:style>
  <w:style w:type="paragraph" w:customStyle="1" w:styleId="83">
    <w:name w:val="reader-word-layer reader-word-s43-14"/>
    <w:basedOn w:val="1"/>
    <w:qFormat/>
    <w:uiPriority w:val="0"/>
    <w:pPr>
      <w:spacing w:before="100" w:beforeAutospacing="1" w:after="100" w:afterAutospacing="1"/>
    </w:pPr>
    <w:rPr>
      <w:rFonts w:ascii="宋体" w:hAnsi="宋体" w:cs="宋体"/>
      <w:sz w:val="24"/>
      <w:szCs w:val="24"/>
    </w:rPr>
  </w:style>
  <w:style w:type="paragraph" w:customStyle="1" w:styleId="84">
    <w:name w:val="reader-word-layer reader-word-s44-6"/>
    <w:basedOn w:val="1"/>
    <w:qFormat/>
    <w:uiPriority w:val="0"/>
    <w:pPr>
      <w:spacing w:before="100" w:beforeAutospacing="1" w:after="100" w:afterAutospacing="1"/>
    </w:pPr>
    <w:rPr>
      <w:rFonts w:ascii="宋体" w:hAnsi="宋体" w:cs="宋体"/>
      <w:sz w:val="24"/>
      <w:szCs w:val="24"/>
    </w:rPr>
  </w:style>
  <w:style w:type="paragraph" w:customStyle="1" w:styleId="85">
    <w:name w:val="reader-word-layer reader-word-s44-8"/>
    <w:basedOn w:val="1"/>
    <w:qFormat/>
    <w:uiPriority w:val="0"/>
    <w:pPr>
      <w:spacing w:before="100" w:beforeAutospacing="1" w:after="100" w:afterAutospacing="1"/>
    </w:pPr>
    <w:rPr>
      <w:rFonts w:ascii="宋体" w:hAnsi="宋体" w:cs="宋体"/>
      <w:sz w:val="24"/>
      <w:szCs w:val="24"/>
    </w:rPr>
  </w:style>
  <w:style w:type="paragraph" w:customStyle="1" w:styleId="86">
    <w:name w:val="reader-word-layer reader-word-s44-9"/>
    <w:basedOn w:val="1"/>
    <w:qFormat/>
    <w:uiPriority w:val="0"/>
    <w:pPr>
      <w:spacing w:before="100" w:beforeAutospacing="1" w:after="100" w:afterAutospacing="1"/>
    </w:pPr>
    <w:rPr>
      <w:rFonts w:ascii="宋体" w:hAnsi="宋体" w:cs="宋体"/>
      <w:sz w:val="24"/>
      <w:szCs w:val="24"/>
    </w:rPr>
  </w:style>
  <w:style w:type="paragraph" w:customStyle="1" w:styleId="87">
    <w:name w:val="reader-word-layer reader-word-s45-3"/>
    <w:basedOn w:val="1"/>
    <w:qFormat/>
    <w:uiPriority w:val="0"/>
    <w:pPr>
      <w:spacing w:before="100" w:beforeAutospacing="1" w:after="100" w:afterAutospacing="1"/>
    </w:pPr>
    <w:rPr>
      <w:rFonts w:ascii="宋体" w:hAnsi="宋体" w:cs="宋体"/>
      <w:sz w:val="24"/>
      <w:szCs w:val="24"/>
    </w:rPr>
  </w:style>
  <w:style w:type="paragraph" w:customStyle="1" w:styleId="88">
    <w:name w:val="reader-word-layer reader-word-s45-6"/>
    <w:basedOn w:val="1"/>
    <w:qFormat/>
    <w:uiPriority w:val="0"/>
    <w:pPr>
      <w:spacing w:before="100" w:beforeAutospacing="1" w:after="100" w:afterAutospacing="1"/>
    </w:pPr>
    <w:rPr>
      <w:rFonts w:ascii="宋体" w:hAnsi="宋体" w:cs="宋体"/>
      <w:sz w:val="24"/>
      <w:szCs w:val="24"/>
    </w:rPr>
  </w:style>
  <w:style w:type="paragraph" w:customStyle="1" w:styleId="89">
    <w:name w:val="Char Char Char Char Char Char Char1"/>
    <w:basedOn w:val="1"/>
    <w:qFormat/>
    <w:uiPriority w:val="0"/>
    <w:pPr>
      <w:spacing w:after="160" w:line="240" w:lineRule="exact"/>
    </w:pPr>
    <w:rPr>
      <w:rFonts w:ascii="Times New Roman" w:hAnsi="Times New Roman" w:cs="Times New Roman"/>
      <w:szCs w:val="24"/>
    </w:rPr>
  </w:style>
  <w:style w:type="paragraph" w:customStyle="1" w:styleId="90">
    <w:name w:val="reader-word-layer reader-word-s46-12"/>
    <w:basedOn w:val="1"/>
    <w:qFormat/>
    <w:uiPriority w:val="0"/>
    <w:pPr>
      <w:spacing w:before="100" w:beforeAutospacing="1" w:after="100" w:afterAutospacing="1"/>
    </w:pPr>
    <w:rPr>
      <w:rFonts w:ascii="宋体" w:hAnsi="宋体" w:cs="宋体"/>
      <w:sz w:val="24"/>
      <w:szCs w:val="24"/>
    </w:rPr>
  </w:style>
  <w:style w:type="paragraph" w:customStyle="1" w:styleId="91">
    <w:name w:val="reader-word-layer reader-word-s46-15"/>
    <w:basedOn w:val="1"/>
    <w:qFormat/>
    <w:uiPriority w:val="0"/>
    <w:pPr>
      <w:spacing w:before="100" w:beforeAutospacing="1" w:after="100" w:afterAutospacing="1"/>
    </w:pPr>
    <w:rPr>
      <w:rFonts w:ascii="宋体" w:hAnsi="宋体" w:cs="宋体"/>
      <w:sz w:val="24"/>
      <w:szCs w:val="24"/>
    </w:rPr>
  </w:style>
  <w:style w:type="paragraph" w:customStyle="1" w:styleId="92">
    <w:name w:val="reader-word-layer reader-word-s46-17"/>
    <w:basedOn w:val="1"/>
    <w:qFormat/>
    <w:uiPriority w:val="0"/>
    <w:pPr>
      <w:spacing w:before="100" w:beforeAutospacing="1" w:after="100" w:afterAutospacing="1"/>
    </w:pPr>
    <w:rPr>
      <w:rFonts w:ascii="宋体" w:hAnsi="宋体" w:cs="宋体"/>
      <w:sz w:val="24"/>
      <w:szCs w:val="24"/>
    </w:rPr>
  </w:style>
  <w:style w:type="paragraph" w:customStyle="1" w:styleId="93">
    <w:name w:val="reader-word-layer reader-word-s46-20"/>
    <w:basedOn w:val="1"/>
    <w:qFormat/>
    <w:uiPriority w:val="0"/>
    <w:pPr>
      <w:spacing w:before="100" w:beforeAutospacing="1" w:after="100" w:afterAutospacing="1"/>
    </w:pPr>
    <w:rPr>
      <w:rFonts w:ascii="宋体" w:hAnsi="宋体" w:cs="宋体"/>
      <w:sz w:val="24"/>
      <w:szCs w:val="24"/>
    </w:rPr>
  </w:style>
  <w:style w:type="paragraph" w:customStyle="1" w:styleId="94">
    <w:name w:val="body"/>
    <w:basedOn w:val="1"/>
    <w:link w:val="95"/>
    <w:qFormat/>
    <w:uiPriority w:val="0"/>
    <w:pPr>
      <w:spacing w:line="600" w:lineRule="exact"/>
      <w:ind w:firstLine="137" w:firstLineChars="49"/>
    </w:pPr>
    <w:rPr>
      <w:rFonts w:ascii="ˎ̥"/>
      <w:sz w:val="28"/>
      <w:szCs w:val="32"/>
    </w:rPr>
  </w:style>
  <w:style w:type="character" w:customStyle="1" w:styleId="95">
    <w:name w:val="body Char Char"/>
    <w:basedOn w:val="34"/>
    <w:link w:val="94"/>
    <w:qFormat/>
    <w:uiPriority w:val="0"/>
    <w:rPr>
      <w:rFonts w:ascii="ˎ̥" w:eastAsia="宋体"/>
      <w:sz w:val="28"/>
      <w:szCs w:val="32"/>
    </w:rPr>
  </w:style>
  <w:style w:type="paragraph" w:customStyle="1" w:styleId="96">
    <w:name w:val="reader-word-layer"/>
    <w:basedOn w:val="1"/>
    <w:qFormat/>
    <w:uiPriority w:val="0"/>
    <w:pPr>
      <w:spacing w:before="100" w:beforeAutospacing="1" w:after="100" w:afterAutospacing="1"/>
    </w:pPr>
    <w:rPr>
      <w:rFonts w:ascii="宋体" w:hAnsi="宋体" w:cs="宋体"/>
      <w:sz w:val="24"/>
      <w:szCs w:val="24"/>
    </w:rPr>
  </w:style>
  <w:style w:type="paragraph" w:customStyle="1" w:styleId="97">
    <w:name w:val="样式 样式 四号 + 首行缩进:  2 字符"/>
    <w:basedOn w:val="1"/>
    <w:qFormat/>
    <w:uiPriority w:val="0"/>
    <w:pPr>
      <w:spacing w:line="360" w:lineRule="auto"/>
      <w:ind w:firstLine="560" w:firstLineChars="200"/>
    </w:pPr>
    <w:rPr>
      <w:rFonts w:ascii="Times New Roman" w:hAnsi="Times New Roman" w:eastAsia="仿宋_GB2312" w:cs="宋体"/>
      <w:sz w:val="28"/>
      <w:szCs w:val="20"/>
    </w:rPr>
  </w:style>
  <w:style w:type="paragraph" w:customStyle="1" w:styleId="98">
    <w:name w:val="Char Char Char Char Char Char Char2"/>
    <w:basedOn w:val="1"/>
    <w:qFormat/>
    <w:uiPriority w:val="0"/>
    <w:pPr>
      <w:spacing w:after="160" w:line="240" w:lineRule="exact"/>
    </w:pPr>
    <w:rPr>
      <w:rFonts w:ascii="Times New Roman" w:hAnsi="Times New Roman" w:cs="Times New Roman"/>
      <w:szCs w:val="24"/>
    </w:rPr>
  </w:style>
  <w:style w:type="paragraph" w:customStyle="1" w:styleId="99">
    <w:name w:val="朔电正文"/>
    <w:basedOn w:val="1"/>
    <w:qFormat/>
    <w:uiPriority w:val="0"/>
    <w:pPr>
      <w:spacing w:beforeLines="25" w:line="440" w:lineRule="exact"/>
      <w:ind w:firstLine="480" w:firstLineChars="200"/>
    </w:pPr>
    <w:rPr>
      <w:rFonts w:ascii="Times New Roman" w:hAnsi="Times New Roman" w:cs="Times New Roman"/>
      <w:color w:val="000000"/>
      <w:kern w:val="32"/>
      <w:sz w:val="24"/>
      <w:szCs w:val="24"/>
    </w:rPr>
  </w:style>
  <w:style w:type="paragraph" w:customStyle="1" w:styleId="100">
    <w:name w:val="表头"/>
    <w:basedOn w:val="1"/>
    <w:next w:val="1"/>
    <w:link w:val="101"/>
    <w:qFormat/>
    <w:uiPriority w:val="0"/>
    <w:pPr>
      <w:tabs>
        <w:tab w:val="left" w:pos="4680"/>
      </w:tabs>
      <w:jc w:val="right"/>
    </w:pPr>
    <w:rPr>
      <w:rFonts w:ascii="宋体" w:hAnsi="宋体"/>
      <w:bCs/>
      <w:szCs w:val="21"/>
    </w:rPr>
  </w:style>
  <w:style w:type="character" w:customStyle="1" w:styleId="101">
    <w:name w:val="表头 Char2"/>
    <w:basedOn w:val="34"/>
    <w:link w:val="100"/>
    <w:qFormat/>
    <w:uiPriority w:val="0"/>
    <w:rPr>
      <w:rFonts w:ascii="宋体" w:hAnsi="宋体" w:eastAsia="宋体"/>
      <w:bCs/>
      <w:kern w:val="2"/>
      <w:sz w:val="21"/>
      <w:szCs w:val="21"/>
    </w:rPr>
  </w:style>
  <w:style w:type="paragraph" w:customStyle="1" w:styleId="102">
    <w:name w:val="Char Char Char Char Char Char Char3"/>
    <w:basedOn w:val="1"/>
    <w:qFormat/>
    <w:uiPriority w:val="0"/>
    <w:pPr>
      <w:spacing w:after="160" w:line="240" w:lineRule="exact"/>
    </w:pPr>
    <w:rPr>
      <w:rFonts w:ascii="Times New Roman" w:hAnsi="Times New Roman" w:cs="Times New Roman"/>
      <w:szCs w:val="24"/>
    </w:rPr>
  </w:style>
  <w:style w:type="paragraph" w:customStyle="1" w:styleId="103">
    <w:name w:val="页脚1"/>
    <w:basedOn w:val="1"/>
    <w:qFormat/>
    <w:uiPriority w:val="0"/>
    <w:pPr>
      <w:tabs>
        <w:tab w:val="center" w:pos="4153"/>
        <w:tab w:val="right" w:pos="8306"/>
      </w:tabs>
    </w:pPr>
    <w:rPr>
      <w:sz w:val="18"/>
    </w:rPr>
  </w:style>
  <w:style w:type="paragraph" w:customStyle="1" w:styleId="104">
    <w:name w:val="页眉1"/>
    <w:basedOn w:val="1"/>
    <w:qFormat/>
    <w:uiPriority w:val="0"/>
    <w:pPr>
      <w:pBdr>
        <w:bottom w:val="single" w:color="auto" w:sz="6" w:space="1"/>
      </w:pBdr>
      <w:tabs>
        <w:tab w:val="center" w:pos="4153"/>
        <w:tab w:val="right" w:pos="8306"/>
      </w:tabs>
    </w:pPr>
    <w:rPr>
      <w:sz w:val="18"/>
    </w:rPr>
  </w:style>
  <w:style w:type="paragraph" w:customStyle="1" w:styleId="105">
    <w:name w:val="Char Char Char Char Char Char Char12"/>
    <w:basedOn w:val="1"/>
    <w:qFormat/>
    <w:uiPriority w:val="0"/>
    <w:pPr>
      <w:spacing w:after="160" w:line="240" w:lineRule="exact"/>
    </w:pPr>
    <w:rPr>
      <w:rFonts w:ascii="Times New Roman" w:hAnsi="Times New Roman" w:cs="Times New Roman"/>
      <w:szCs w:val="24"/>
    </w:rPr>
  </w:style>
  <w:style w:type="paragraph" w:customStyle="1" w:styleId="106">
    <w:name w:val="Char Char Char Char Char Char Char11"/>
    <w:basedOn w:val="1"/>
    <w:qFormat/>
    <w:uiPriority w:val="0"/>
    <w:pPr>
      <w:spacing w:after="160" w:line="240" w:lineRule="exact"/>
    </w:pPr>
    <w:rPr>
      <w:rFonts w:ascii="Times New Roman" w:hAnsi="Times New Roman" w:cs="Times New Roman"/>
      <w:szCs w:val="24"/>
    </w:rPr>
  </w:style>
  <w:style w:type="paragraph" w:customStyle="1" w:styleId="107">
    <w:name w:val="Char Char Char Char Char Char Char10"/>
    <w:basedOn w:val="1"/>
    <w:qFormat/>
    <w:uiPriority w:val="0"/>
    <w:pPr>
      <w:spacing w:after="160" w:line="240" w:lineRule="exact"/>
    </w:pPr>
    <w:rPr>
      <w:rFonts w:ascii="Times New Roman" w:hAnsi="Times New Roman" w:cs="Times New Roman"/>
      <w:szCs w:val="24"/>
    </w:rPr>
  </w:style>
  <w:style w:type="paragraph" w:customStyle="1" w:styleId="108">
    <w:name w:val="Char Char Char Char Char Char Char9"/>
    <w:basedOn w:val="1"/>
    <w:qFormat/>
    <w:uiPriority w:val="0"/>
    <w:pPr>
      <w:spacing w:after="160" w:line="240" w:lineRule="exact"/>
    </w:pPr>
    <w:rPr>
      <w:rFonts w:ascii="Times New Roman" w:hAnsi="Times New Roman" w:cs="Times New Roman"/>
      <w:szCs w:val="24"/>
    </w:rPr>
  </w:style>
  <w:style w:type="paragraph" w:customStyle="1" w:styleId="109">
    <w:name w:val="Char Char Char Char Char Char Char8"/>
    <w:basedOn w:val="1"/>
    <w:qFormat/>
    <w:uiPriority w:val="0"/>
    <w:pPr>
      <w:spacing w:after="160" w:line="240" w:lineRule="exact"/>
    </w:pPr>
    <w:rPr>
      <w:rFonts w:ascii="Times New Roman" w:hAnsi="Times New Roman" w:cs="Times New Roman"/>
      <w:szCs w:val="24"/>
    </w:rPr>
  </w:style>
  <w:style w:type="paragraph" w:customStyle="1" w:styleId="110">
    <w:name w:val="Char Char Char Char Char Char Char7"/>
    <w:basedOn w:val="1"/>
    <w:qFormat/>
    <w:uiPriority w:val="0"/>
    <w:pPr>
      <w:spacing w:after="160" w:line="240" w:lineRule="exact"/>
    </w:pPr>
    <w:rPr>
      <w:rFonts w:ascii="Times New Roman" w:hAnsi="Times New Roman" w:cs="Times New Roman"/>
      <w:szCs w:val="24"/>
    </w:rPr>
  </w:style>
  <w:style w:type="paragraph" w:customStyle="1" w:styleId="111">
    <w:name w:val="Char Char Char Char Char Char Char6"/>
    <w:basedOn w:val="1"/>
    <w:qFormat/>
    <w:uiPriority w:val="0"/>
    <w:pPr>
      <w:spacing w:after="160" w:line="240" w:lineRule="exact"/>
    </w:pPr>
    <w:rPr>
      <w:rFonts w:ascii="Times New Roman" w:hAnsi="Times New Roman" w:cs="Times New Roman"/>
      <w:szCs w:val="24"/>
    </w:rPr>
  </w:style>
  <w:style w:type="paragraph" w:customStyle="1" w:styleId="112">
    <w:name w:val="Char Char Char Char Char Char Char5"/>
    <w:basedOn w:val="1"/>
    <w:qFormat/>
    <w:uiPriority w:val="0"/>
    <w:pPr>
      <w:spacing w:after="160" w:line="240" w:lineRule="exact"/>
    </w:pPr>
    <w:rPr>
      <w:rFonts w:ascii="Times New Roman" w:hAnsi="Times New Roman" w:cs="Times New Roman"/>
      <w:szCs w:val="24"/>
    </w:rPr>
  </w:style>
  <w:style w:type="paragraph" w:customStyle="1" w:styleId="113">
    <w:name w:val="Char Char Char Char Char Char Char4"/>
    <w:basedOn w:val="1"/>
    <w:qFormat/>
    <w:uiPriority w:val="0"/>
    <w:pPr>
      <w:widowControl/>
      <w:spacing w:after="160" w:line="240" w:lineRule="exact"/>
      <w:jc w:val="left"/>
    </w:pPr>
    <w:rPr>
      <w:rFonts w:ascii="Times New Roman" w:hAnsi="Times New Roman" w:cs="Times New Roman"/>
      <w:szCs w:val="24"/>
    </w:rPr>
  </w:style>
  <w:style w:type="character" w:customStyle="1" w:styleId="114">
    <w:name w:val="批注文字 Char1"/>
    <w:basedOn w:val="34"/>
    <w:semiHidden/>
    <w:qFormat/>
    <w:uiPriority w:val="99"/>
    <w:rPr>
      <w:rFonts w:ascii="Tahoma" w:hAnsi="Tahoma"/>
    </w:rPr>
  </w:style>
  <w:style w:type="character" w:customStyle="1" w:styleId="115">
    <w:name w:val="tpc_content1"/>
    <w:qFormat/>
    <w:uiPriority w:val="0"/>
    <w:rPr>
      <w:sz w:val="20"/>
      <w:szCs w:val="20"/>
    </w:rPr>
  </w:style>
  <w:style w:type="character" w:customStyle="1" w:styleId="116">
    <w:name w:val="标题 2 Char Char"/>
    <w:qFormat/>
    <w:uiPriority w:val="0"/>
    <w:rPr>
      <w:rFonts w:ascii="宋体" w:hAnsi="宋体"/>
      <w:b/>
      <w:bCs/>
      <w:sz w:val="32"/>
      <w:szCs w:val="32"/>
    </w:rPr>
  </w:style>
  <w:style w:type="character" w:customStyle="1" w:styleId="117">
    <w:name w:val="标题 1 Char Char"/>
    <w:qFormat/>
    <w:uiPriority w:val="0"/>
    <w:rPr>
      <w:b/>
      <w:bCs/>
      <w:sz w:val="44"/>
    </w:rPr>
  </w:style>
  <w:style w:type="character" w:customStyle="1" w:styleId="118">
    <w:name w:val="纯文本 Char1"/>
    <w:basedOn w:val="34"/>
    <w:qFormat/>
    <w:uiPriority w:val="0"/>
    <w:rPr>
      <w:rFonts w:ascii="宋体" w:hAnsi="Courier New" w:eastAsia="宋体" w:cs="Courier New"/>
      <w:sz w:val="21"/>
      <w:szCs w:val="21"/>
    </w:rPr>
  </w:style>
  <w:style w:type="character" w:customStyle="1" w:styleId="119">
    <w:name w:val="标题 3 Char Char"/>
    <w:qFormat/>
    <w:uiPriority w:val="0"/>
    <w:rPr>
      <w:rFonts w:eastAsia="宋体"/>
      <w:b/>
      <w:bCs/>
      <w:kern w:val="2"/>
      <w:sz w:val="32"/>
      <w:szCs w:val="32"/>
      <w:lang w:val="en-US" w:eastAsia="zh-CN" w:bidi="ar-SA"/>
    </w:rPr>
  </w:style>
  <w:style w:type="character" w:customStyle="1" w:styleId="120">
    <w:name w:val="占位符文本1"/>
    <w:basedOn w:val="34"/>
    <w:semiHidden/>
    <w:qFormat/>
    <w:uiPriority w:val="99"/>
    <w:rPr>
      <w:color w:val="808080"/>
    </w:rPr>
  </w:style>
  <w:style w:type="character" w:customStyle="1" w:styleId="121">
    <w:name w:val="页码1"/>
    <w:basedOn w:val="34"/>
    <w:qFormat/>
    <w:uiPriority w:val="0"/>
  </w:style>
  <w:style w:type="character" w:customStyle="1" w:styleId="122">
    <w:name w:val="apple-converted-space"/>
    <w:basedOn w:val="34"/>
    <w:qFormat/>
    <w:uiPriority w:val="0"/>
  </w:style>
  <w:style w:type="paragraph" w:customStyle="1" w:styleId="123">
    <w:name w:val="列出段落2"/>
    <w:basedOn w:val="1"/>
    <w:qFormat/>
    <w:uiPriority w:val="34"/>
    <w:pPr>
      <w:ind w:firstLine="420" w:firstLineChars="200"/>
    </w:pPr>
  </w:style>
  <w:style w:type="paragraph" w:customStyle="1" w:styleId="124">
    <w:name w:val="正文1"/>
    <w:basedOn w:val="1"/>
    <w:link w:val="125"/>
    <w:qFormat/>
    <w:uiPriority w:val="0"/>
    <w:pPr>
      <w:spacing w:line="300" w:lineRule="auto"/>
      <w:ind w:firstLine="200" w:firstLineChars="200"/>
    </w:pPr>
    <w:rPr>
      <w:rFonts w:ascii="Times New Roman" w:hAnsi="Times New Roman" w:eastAsia="仿宋"/>
      <w:bCs/>
      <w:iCs/>
      <w:sz w:val="28"/>
      <w:szCs w:val="28"/>
      <w:lang w:bidi="en-US"/>
    </w:rPr>
  </w:style>
  <w:style w:type="character" w:customStyle="1" w:styleId="125">
    <w:name w:val="正文1 字符"/>
    <w:basedOn w:val="34"/>
    <w:link w:val="124"/>
    <w:qFormat/>
    <w:uiPriority w:val="0"/>
    <w:rPr>
      <w:rFonts w:ascii="Times New Roman" w:hAnsi="Times New Roman" w:eastAsia="仿宋" w:cs="黑体"/>
      <w:bCs/>
      <w:iCs/>
      <w:kern w:val="2"/>
      <w:sz w:val="28"/>
      <w:szCs w:val="28"/>
      <w:lang w:bidi="en-US"/>
    </w:rPr>
  </w:style>
  <w:style w:type="paragraph" w:customStyle="1" w:styleId="126">
    <w:name w:val="表格内容"/>
    <w:qFormat/>
    <w:uiPriority w:val="0"/>
    <w:pPr>
      <w:jc w:val="both"/>
    </w:pPr>
    <w:rPr>
      <w:rFonts w:ascii="Times New Roman" w:hAnsi="Times New Roman" w:eastAsia="楷体_GB2312" w:cs="Times New Roman"/>
      <w:kern w:val="2"/>
      <w:sz w:val="21"/>
      <w:szCs w:val="24"/>
      <w:lang w:val="en-US" w:eastAsia="zh-CN" w:bidi="ar-SA"/>
    </w:rPr>
  </w:style>
  <w:style w:type="paragraph" w:customStyle="1" w:styleId="127">
    <w:name w:val="xl34"/>
    <w:basedOn w:val="1"/>
    <w:qFormat/>
    <w:uiPriority w:val="0"/>
    <w:pPr>
      <w:widowControl/>
      <w:pBdr>
        <w:bottom w:val="single" w:color="auto" w:sz="8" w:space="0"/>
        <w:right w:val="single" w:color="000000" w:sz="8" w:space="0"/>
      </w:pBdr>
      <w:spacing w:before="100" w:beforeAutospacing="1" w:after="100" w:afterAutospacing="1"/>
      <w:jc w:val="center"/>
      <w:textAlignment w:val="top"/>
    </w:pPr>
    <w:rPr>
      <w:rFonts w:ascii="Arial Unicode MS" w:hAnsi="Arial Unicode MS" w:eastAsia="Arial Unicode MS" w:cs="Times New Roman"/>
      <w:kern w:val="0"/>
      <w:szCs w:val="21"/>
    </w:rPr>
  </w:style>
  <w:style w:type="paragraph" w:customStyle="1" w:styleId="128">
    <w:name w:val="xl59"/>
    <w:basedOn w:val="1"/>
    <w:qFormat/>
    <w:uiPriority w:val="0"/>
    <w:pPr>
      <w:widowControl/>
      <w:pBdr>
        <w:bottom w:val="single" w:color="auto" w:sz="8" w:space="0"/>
        <w:right w:val="single" w:color="000000" w:sz="8" w:space="0"/>
      </w:pBdr>
      <w:spacing w:before="100" w:beforeAutospacing="1" w:after="100" w:afterAutospacing="1"/>
      <w:textAlignment w:val="top"/>
    </w:pPr>
    <w:rPr>
      <w:rFonts w:ascii="Arial Unicode MS" w:hAnsi="Arial Unicode MS" w:eastAsia="Arial Unicode MS" w:cs="隶书"/>
      <w:kern w:val="0"/>
      <w:szCs w:val="21"/>
    </w:rPr>
  </w:style>
  <w:style w:type="paragraph" w:customStyle="1" w:styleId="129">
    <w:name w:val="表格1"/>
    <w:basedOn w:val="22"/>
    <w:link w:val="130"/>
    <w:qFormat/>
    <w:uiPriority w:val="0"/>
    <w:pPr>
      <w:pBdr>
        <w:bottom w:val="none" w:color="auto" w:sz="0" w:space="0"/>
      </w:pBdr>
      <w:tabs>
        <w:tab w:val="clear" w:pos="4153"/>
        <w:tab w:val="clear" w:pos="8306"/>
      </w:tabs>
    </w:pPr>
    <w:rPr>
      <w:rFonts w:ascii="Times New Roman" w:hAnsi="Times New Roman" w:eastAsia="仿宋"/>
      <w:sz w:val="21"/>
      <w:szCs w:val="21"/>
    </w:rPr>
  </w:style>
  <w:style w:type="character" w:customStyle="1" w:styleId="130">
    <w:name w:val="表格1 字符"/>
    <w:basedOn w:val="59"/>
    <w:link w:val="129"/>
    <w:qFormat/>
    <w:uiPriority w:val="0"/>
    <w:rPr>
      <w:rFonts w:ascii="Tahoma" w:hAnsi="Tahoma" w:eastAsia="仿宋" w:cs="黑体"/>
      <w:kern w:val="2"/>
      <w:sz w:val="21"/>
      <w:szCs w:val="21"/>
    </w:rPr>
  </w:style>
  <w:style w:type="paragraph" w:customStyle="1" w:styleId="131">
    <w:name w:val="二级标题"/>
    <w:basedOn w:val="4"/>
    <w:link w:val="133"/>
    <w:qFormat/>
    <w:uiPriority w:val="0"/>
    <w:pPr>
      <w:numPr>
        <w:ilvl w:val="1"/>
        <w:numId w:val="1"/>
      </w:numPr>
      <w:tabs>
        <w:tab w:val="left" w:pos="420"/>
        <w:tab w:val="center" w:pos="4195"/>
      </w:tabs>
      <w:adjustRightInd w:val="0"/>
      <w:snapToGrid w:val="0"/>
      <w:spacing w:before="0" w:after="0" w:line="360" w:lineRule="auto"/>
      <w:ind w:left="0"/>
    </w:pPr>
    <w:rPr>
      <w:rFonts w:ascii="仿宋" w:hAnsi="仿宋" w:eastAsia="仿宋"/>
      <w:sz w:val="30"/>
      <w:szCs w:val="30"/>
    </w:rPr>
  </w:style>
  <w:style w:type="paragraph" w:customStyle="1" w:styleId="132">
    <w:name w:val="三级标题"/>
    <w:basedOn w:val="5"/>
    <w:link w:val="134"/>
    <w:qFormat/>
    <w:uiPriority w:val="0"/>
    <w:pPr>
      <w:numPr>
        <w:ilvl w:val="2"/>
        <w:numId w:val="2"/>
      </w:numPr>
      <w:spacing w:before="0" w:after="0" w:line="360" w:lineRule="auto"/>
      <w:ind w:left="0"/>
      <w:jc w:val="left"/>
    </w:pPr>
    <w:rPr>
      <w:rFonts w:ascii="仿宋" w:hAnsi="仿宋" w:eastAsia="仿宋"/>
      <w:sz w:val="28"/>
      <w:szCs w:val="28"/>
    </w:rPr>
  </w:style>
  <w:style w:type="character" w:customStyle="1" w:styleId="133">
    <w:name w:val="二级标题 字符"/>
    <w:basedOn w:val="45"/>
    <w:link w:val="131"/>
    <w:qFormat/>
    <w:uiPriority w:val="0"/>
    <w:rPr>
      <w:rFonts w:ascii="仿宋" w:hAnsi="仿宋" w:eastAsia="仿宋" w:cs="黑体"/>
      <w:kern w:val="2"/>
      <w:sz w:val="30"/>
      <w:szCs w:val="30"/>
    </w:rPr>
  </w:style>
  <w:style w:type="character" w:customStyle="1" w:styleId="134">
    <w:name w:val="三级标题 字符"/>
    <w:basedOn w:val="46"/>
    <w:link w:val="132"/>
    <w:qFormat/>
    <w:uiPriority w:val="0"/>
    <w:rPr>
      <w:rFonts w:ascii="仿宋" w:hAnsi="仿宋" w:eastAsia="仿宋" w:cs="黑体"/>
      <w:kern w:val="2"/>
      <w:sz w:val="28"/>
      <w:szCs w:val="28"/>
    </w:rPr>
  </w:style>
  <w:style w:type="character" w:customStyle="1" w:styleId="135">
    <w:name w:val="一级标题 字符"/>
    <w:basedOn w:val="44"/>
    <w:link w:val="43"/>
    <w:qFormat/>
    <w:uiPriority w:val="0"/>
    <w:rPr>
      <w:rFonts w:ascii="仿宋" w:hAnsi="仿宋" w:eastAsia="仿宋" w:cs="黑体"/>
      <w:kern w:val="44"/>
      <w:sz w:val="32"/>
      <w:szCs w:val="44"/>
    </w:rPr>
  </w:style>
  <w:style w:type="paragraph" w:customStyle="1" w:styleId="136">
    <w:name w:val="四级标题"/>
    <w:basedOn w:val="1"/>
    <w:link w:val="138"/>
    <w:qFormat/>
    <w:uiPriority w:val="0"/>
    <w:pPr>
      <w:numPr>
        <w:ilvl w:val="3"/>
        <w:numId w:val="3"/>
      </w:numPr>
      <w:spacing w:line="360" w:lineRule="auto"/>
      <w:ind w:left="0"/>
      <w:outlineLvl w:val="3"/>
    </w:pPr>
    <w:rPr>
      <w:rFonts w:ascii="仿宋" w:hAnsi="仿宋" w:eastAsia="仿宋"/>
      <w:b/>
      <w:sz w:val="28"/>
      <w:szCs w:val="28"/>
    </w:rPr>
  </w:style>
  <w:style w:type="paragraph" w:customStyle="1" w:styleId="137">
    <w:name w:val="小标题"/>
    <w:basedOn w:val="1"/>
    <w:link w:val="140"/>
    <w:qFormat/>
    <w:uiPriority w:val="0"/>
    <w:pPr>
      <w:ind w:firstLine="562" w:firstLineChars="200"/>
    </w:pPr>
    <w:rPr>
      <w:rFonts w:ascii="仿宋" w:hAnsi="仿宋" w:eastAsia="仿宋"/>
      <w:b/>
      <w:sz w:val="28"/>
      <w:szCs w:val="28"/>
    </w:rPr>
  </w:style>
  <w:style w:type="character" w:customStyle="1" w:styleId="138">
    <w:name w:val="四级标题 字符"/>
    <w:basedOn w:val="34"/>
    <w:link w:val="136"/>
    <w:qFormat/>
    <w:uiPriority w:val="0"/>
    <w:rPr>
      <w:rFonts w:ascii="仿宋" w:hAnsi="仿宋" w:eastAsia="仿宋" w:cs="黑体"/>
      <w:b/>
      <w:kern w:val="2"/>
      <w:sz w:val="28"/>
      <w:szCs w:val="28"/>
    </w:rPr>
  </w:style>
  <w:style w:type="paragraph" w:customStyle="1" w:styleId="139">
    <w:name w:val="表头1"/>
    <w:basedOn w:val="1"/>
    <w:link w:val="141"/>
    <w:qFormat/>
    <w:uiPriority w:val="0"/>
    <w:pPr>
      <w:spacing w:before="62" w:after="20" w:afterLines="20"/>
      <w:jc w:val="center"/>
    </w:pPr>
    <w:rPr>
      <w:rFonts w:ascii="Times New Roman" w:hAnsi="Times New Roman" w:eastAsia="仿宋"/>
      <w:sz w:val="24"/>
      <w:szCs w:val="24"/>
    </w:rPr>
  </w:style>
  <w:style w:type="character" w:customStyle="1" w:styleId="140">
    <w:name w:val="小标题 字符"/>
    <w:basedOn w:val="34"/>
    <w:link w:val="137"/>
    <w:qFormat/>
    <w:uiPriority w:val="0"/>
    <w:rPr>
      <w:rFonts w:ascii="仿宋" w:hAnsi="仿宋" w:eastAsia="仿宋" w:cs="黑体"/>
      <w:b/>
      <w:kern w:val="2"/>
      <w:sz w:val="28"/>
      <w:szCs w:val="28"/>
    </w:rPr>
  </w:style>
  <w:style w:type="character" w:customStyle="1" w:styleId="141">
    <w:name w:val="表头1 字符"/>
    <w:basedOn w:val="34"/>
    <w:link w:val="139"/>
    <w:qFormat/>
    <w:uiPriority w:val="0"/>
    <w:rPr>
      <w:rFonts w:ascii="Times New Roman" w:hAnsi="Times New Roman" w:eastAsia="仿宋" w:cs="黑体"/>
      <w:kern w:val="2"/>
      <w:sz w:val="24"/>
      <w:szCs w:val="24"/>
    </w:rPr>
  </w:style>
  <w:style w:type="paragraph" w:customStyle="1" w:styleId="142">
    <w:name w:val="表格后文字"/>
    <w:basedOn w:val="124"/>
    <w:link w:val="144"/>
    <w:qFormat/>
    <w:uiPriority w:val="0"/>
    <w:rPr>
      <w:sz w:val="10"/>
      <w:szCs w:val="10"/>
    </w:rPr>
  </w:style>
  <w:style w:type="paragraph" w:customStyle="1" w:styleId="143">
    <w:name w:val="表123"/>
    <w:basedOn w:val="1"/>
    <w:link w:val="145"/>
    <w:qFormat/>
    <w:uiPriority w:val="0"/>
    <w:pPr>
      <w:adjustRightInd w:val="0"/>
      <w:snapToGrid w:val="0"/>
      <w:jc w:val="center"/>
    </w:pPr>
    <w:rPr>
      <w:rFonts w:ascii="Times New Roman" w:hAnsi="Times New Roman" w:cs="Times New Roman"/>
      <w:color w:val="000000"/>
      <w:szCs w:val="21"/>
    </w:rPr>
  </w:style>
  <w:style w:type="character" w:customStyle="1" w:styleId="144">
    <w:name w:val="表格后文字 字符"/>
    <w:basedOn w:val="125"/>
    <w:link w:val="142"/>
    <w:qFormat/>
    <w:uiPriority w:val="0"/>
    <w:rPr>
      <w:rFonts w:eastAsia="仿宋" w:cs="黑体"/>
      <w:kern w:val="2"/>
      <w:sz w:val="10"/>
      <w:szCs w:val="10"/>
      <w:lang w:bidi="en-US"/>
    </w:rPr>
  </w:style>
  <w:style w:type="character" w:customStyle="1" w:styleId="145">
    <w:name w:val="表123 字符"/>
    <w:link w:val="143"/>
    <w:qFormat/>
    <w:uiPriority w:val="0"/>
    <w:rPr>
      <w:color w:val="000000"/>
      <w:kern w:val="2"/>
      <w:sz w:val="21"/>
      <w:szCs w:val="21"/>
    </w:rPr>
  </w:style>
  <w:style w:type="paragraph" w:customStyle="1" w:styleId="146">
    <w:name w:val="附件目录"/>
    <w:basedOn w:val="131"/>
    <w:link w:val="147"/>
    <w:qFormat/>
    <w:uiPriority w:val="0"/>
    <w:pPr>
      <w:numPr>
        <w:ilvl w:val="0"/>
        <w:numId w:val="0"/>
      </w:numPr>
      <w:spacing w:line="240" w:lineRule="auto"/>
      <w:jc w:val="center"/>
      <w:outlineLvl w:val="9"/>
    </w:pPr>
    <w:rPr>
      <w:rFonts w:ascii="Times New Roman" w:hAnsi="Times New Roman"/>
    </w:rPr>
  </w:style>
  <w:style w:type="character" w:customStyle="1" w:styleId="147">
    <w:name w:val="附件目录 字符"/>
    <w:basedOn w:val="133"/>
    <w:link w:val="146"/>
    <w:qFormat/>
    <w:uiPriority w:val="0"/>
    <w:rPr>
      <w:rFonts w:ascii="仿宋" w:hAnsi="仿宋" w:eastAsia="仿宋" w:cs="黑体"/>
      <w:kern w:val="2"/>
      <w:sz w:val="30"/>
      <w:szCs w:val="30"/>
    </w:rPr>
  </w:style>
  <w:style w:type="paragraph" w:customStyle="1" w:styleId="148">
    <w:name w:val="图片题目"/>
    <w:basedOn w:val="124"/>
    <w:link w:val="149"/>
    <w:qFormat/>
    <w:uiPriority w:val="0"/>
    <w:pPr>
      <w:spacing w:after="50" w:afterLines="50"/>
      <w:ind w:firstLine="500" w:firstLineChars="500"/>
      <w:jc w:val="center"/>
    </w:pPr>
    <w:rPr>
      <w:b/>
      <w:sz w:val="24"/>
      <w:szCs w:val="24"/>
      <w:lang w:bidi="ar-SA"/>
    </w:rPr>
  </w:style>
  <w:style w:type="character" w:customStyle="1" w:styleId="149">
    <w:name w:val="图片题目 字符"/>
    <w:basedOn w:val="125"/>
    <w:link w:val="148"/>
    <w:qFormat/>
    <w:uiPriority w:val="0"/>
    <w:rPr>
      <w:rFonts w:eastAsia="仿宋" w:cs="黑体"/>
      <w:b/>
      <w:kern w:val="2"/>
      <w:sz w:val="24"/>
      <w:szCs w:val="24"/>
      <w:lang w:bidi="en-US"/>
    </w:rPr>
  </w:style>
  <w:style w:type="table" w:customStyle="1" w:styleId="150">
    <w:name w:val="网格型1"/>
    <w:basedOn w:val="41"/>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1">
    <w:name w:val="正文缩进 Char"/>
    <w:basedOn w:val="34"/>
    <w:qFormat/>
    <w:locked/>
    <w:uiPriority w:val="0"/>
    <w:rPr>
      <w:kern w:val="2"/>
      <w:sz w:val="21"/>
      <w:szCs w:val="24"/>
    </w:rPr>
  </w:style>
  <w:style w:type="character" w:customStyle="1" w:styleId="152">
    <w:name w:val="Body text + 10.5 pt"/>
    <w:qFormat/>
    <w:uiPriority w:val="0"/>
    <w:rPr>
      <w:rFonts w:ascii="宋体" w:hAnsi="宋体" w:eastAsia="宋体" w:cs="宋体"/>
      <w:color w:val="000000"/>
      <w:spacing w:val="0"/>
      <w:w w:val="100"/>
      <w:position w:val="0"/>
      <w:sz w:val="21"/>
      <w:szCs w:val="21"/>
      <w:u w:val="none"/>
      <w:lang w:val="zh-TW"/>
    </w:rPr>
  </w:style>
  <w:style w:type="character" w:customStyle="1" w:styleId="153">
    <w:name w:val="标题 字符"/>
    <w:basedOn w:val="34"/>
    <w:link w:val="33"/>
    <w:qFormat/>
    <w:uiPriority w:val="10"/>
    <w:rPr>
      <w:b/>
      <w:bCs/>
      <w:kern w:val="2"/>
      <w:sz w:val="24"/>
      <w:szCs w:val="32"/>
    </w:rPr>
  </w:style>
  <w:style w:type="paragraph" w:customStyle="1" w:styleId="154">
    <w:name w:val="风二级标题"/>
    <w:basedOn w:val="4"/>
    <w:link w:val="156"/>
    <w:qFormat/>
    <w:uiPriority w:val="0"/>
    <w:pPr>
      <w:numPr>
        <w:ilvl w:val="1"/>
        <w:numId w:val="4"/>
      </w:numPr>
      <w:tabs>
        <w:tab w:val="left" w:pos="420"/>
        <w:tab w:val="center" w:pos="4195"/>
      </w:tabs>
      <w:adjustRightInd w:val="0"/>
      <w:snapToGrid w:val="0"/>
      <w:spacing w:before="156" w:beforeLines="50" w:after="0" w:line="336" w:lineRule="auto"/>
    </w:pPr>
    <w:rPr>
      <w:rFonts w:ascii="仿宋" w:hAnsi="仿宋" w:eastAsia="仿宋"/>
      <w:sz w:val="30"/>
      <w:szCs w:val="30"/>
    </w:rPr>
  </w:style>
  <w:style w:type="paragraph" w:customStyle="1" w:styleId="155">
    <w:name w:val="风三级标题"/>
    <w:basedOn w:val="5"/>
    <w:link w:val="158"/>
    <w:qFormat/>
    <w:uiPriority w:val="0"/>
    <w:pPr>
      <w:numPr>
        <w:ilvl w:val="2"/>
        <w:numId w:val="5"/>
      </w:numPr>
      <w:spacing w:before="0" w:after="0" w:line="336" w:lineRule="auto"/>
      <w:ind w:left="0"/>
      <w:jc w:val="left"/>
    </w:pPr>
    <w:rPr>
      <w:rFonts w:ascii="仿宋" w:hAnsi="仿宋" w:eastAsia="仿宋"/>
      <w:sz w:val="28"/>
      <w:szCs w:val="28"/>
    </w:rPr>
  </w:style>
  <w:style w:type="character" w:customStyle="1" w:styleId="156">
    <w:name w:val="风二级标题 字符"/>
    <w:basedOn w:val="45"/>
    <w:link w:val="154"/>
    <w:qFormat/>
    <w:uiPriority w:val="0"/>
    <w:rPr>
      <w:rFonts w:ascii="仿宋" w:hAnsi="仿宋" w:eastAsia="仿宋" w:cs="黑体"/>
      <w:kern w:val="2"/>
      <w:sz w:val="30"/>
      <w:szCs w:val="30"/>
    </w:rPr>
  </w:style>
  <w:style w:type="paragraph" w:customStyle="1" w:styleId="157">
    <w:name w:val="风一级标题"/>
    <w:basedOn w:val="3"/>
    <w:link w:val="159"/>
    <w:qFormat/>
    <w:uiPriority w:val="0"/>
    <w:pPr>
      <w:pageBreakBefore/>
      <w:numPr>
        <w:ilvl w:val="0"/>
        <w:numId w:val="4"/>
      </w:numPr>
      <w:spacing w:before="0" w:after="0" w:line="360" w:lineRule="auto"/>
      <w:jc w:val="center"/>
    </w:pPr>
    <w:rPr>
      <w:rFonts w:ascii="仿宋" w:hAnsi="仿宋" w:eastAsia="仿宋"/>
      <w:sz w:val="36"/>
    </w:rPr>
  </w:style>
  <w:style w:type="character" w:customStyle="1" w:styleId="158">
    <w:name w:val="风三级标题 字符"/>
    <w:basedOn w:val="46"/>
    <w:link w:val="155"/>
    <w:qFormat/>
    <w:uiPriority w:val="0"/>
    <w:rPr>
      <w:rFonts w:ascii="仿宋" w:hAnsi="仿宋" w:eastAsia="仿宋" w:cs="黑体"/>
      <w:kern w:val="2"/>
      <w:sz w:val="28"/>
      <w:szCs w:val="28"/>
    </w:rPr>
  </w:style>
  <w:style w:type="character" w:customStyle="1" w:styleId="159">
    <w:name w:val="风一级标题 字符"/>
    <w:basedOn w:val="44"/>
    <w:link w:val="157"/>
    <w:qFormat/>
    <w:uiPriority w:val="0"/>
    <w:rPr>
      <w:rFonts w:ascii="仿宋" w:hAnsi="仿宋" w:eastAsia="仿宋" w:cs="黑体"/>
      <w:kern w:val="44"/>
      <w:sz w:val="36"/>
      <w:szCs w:val="44"/>
    </w:rPr>
  </w:style>
  <w:style w:type="paragraph" w:customStyle="1" w:styleId="160">
    <w:name w:val="风四级标题"/>
    <w:basedOn w:val="1"/>
    <w:link w:val="161"/>
    <w:qFormat/>
    <w:uiPriority w:val="0"/>
    <w:pPr>
      <w:numPr>
        <w:ilvl w:val="3"/>
        <w:numId w:val="4"/>
      </w:numPr>
      <w:spacing w:line="360" w:lineRule="auto"/>
      <w:outlineLvl w:val="3"/>
    </w:pPr>
    <w:rPr>
      <w:rFonts w:ascii="仿宋" w:hAnsi="仿宋" w:eastAsia="仿宋"/>
      <w:b/>
      <w:sz w:val="28"/>
      <w:szCs w:val="28"/>
    </w:rPr>
  </w:style>
  <w:style w:type="character" w:customStyle="1" w:styleId="161">
    <w:name w:val="风四级标题 字符"/>
    <w:basedOn w:val="34"/>
    <w:link w:val="160"/>
    <w:qFormat/>
    <w:uiPriority w:val="0"/>
    <w:rPr>
      <w:rFonts w:ascii="仿宋" w:hAnsi="仿宋" w:eastAsia="仿宋" w:cs="黑体"/>
      <w:b/>
      <w:kern w:val="2"/>
      <w:sz w:val="28"/>
      <w:szCs w:val="28"/>
    </w:rPr>
  </w:style>
  <w:style w:type="paragraph" w:customStyle="1" w:styleId="162">
    <w:name w:val="WPSOffice手动目录 1"/>
    <w:qFormat/>
    <w:uiPriority w:val="0"/>
    <w:rPr>
      <w:rFonts w:ascii="Times New Roman" w:hAnsi="Times New Roman" w:eastAsia="宋体" w:cs="Times New Roman"/>
      <w:lang w:val="en-US" w:eastAsia="zh-CN" w:bidi="ar-SA"/>
    </w:rPr>
  </w:style>
  <w:style w:type="paragraph" w:customStyle="1" w:styleId="163">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65">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66">
    <w:name w:val="TOC 标题2"/>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 w:type="paragraph" w:customStyle="1" w:styleId="167">
    <w:name w:val="TOC 标题3"/>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168">
    <w:name w:val="部分题目"/>
    <w:basedOn w:val="1"/>
    <w:link w:val="169"/>
    <w:qFormat/>
    <w:uiPriority w:val="0"/>
    <w:pPr>
      <w:spacing w:line="360" w:lineRule="auto"/>
      <w:ind w:firstLine="1988" w:firstLineChars="550"/>
    </w:pPr>
    <w:rPr>
      <w:rFonts w:ascii="Times New Roman" w:hAnsi="Times New Roman" w:eastAsia="仿宋"/>
      <w:b/>
      <w:bCs/>
      <w:iCs/>
      <w:sz w:val="36"/>
      <w:szCs w:val="36"/>
      <w:lang w:bidi="en-US"/>
    </w:rPr>
  </w:style>
  <w:style w:type="character" w:customStyle="1" w:styleId="169">
    <w:name w:val="部分题目 字符"/>
    <w:basedOn w:val="34"/>
    <w:link w:val="168"/>
    <w:qFormat/>
    <w:uiPriority w:val="0"/>
    <w:rPr>
      <w:rFonts w:eastAsia="仿宋" w:cs="黑体"/>
      <w:b/>
      <w:bCs/>
      <w:iCs/>
      <w:kern w:val="2"/>
      <w:sz w:val="36"/>
      <w:szCs w:val="36"/>
      <w:lang w:bidi="en-US"/>
    </w:rPr>
  </w:style>
  <w:style w:type="paragraph" w:customStyle="1" w:styleId="170">
    <w:name w:val="风正文"/>
    <w:basedOn w:val="124"/>
    <w:link w:val="171"/>
    <w:qFormat/>
    <w:uiPriority w:val="0"/>
    <w:pPr>
      <w:spacing w:line="240" w:lineRule="auto"/>
    </w:pPr>
  </w:style>
  <w:style w:type="character" w:customStyle="1" w:styleId="171">
    <w:name w:val="风正文 字符"/>
    <w:basedOn w:val="125"/>
    <w:link w:val="170"/>
    <w:qFormat/>
    <w:uiPriority w:val="0"/>
    <w:rPr>
      <w:rFonts w:eastAsia="仿宋" w:cs="黑体"/>
      <w:kern w:val="2"/>
      <w:sz w:val="28"/>
      <w:szCs w:val="28"/>
      <w:lang w:bidi="en-US"/>
    </w:rPr>
  </w:style>
  <w:style w:type="paragraph" w:customStyle="1" w:styleId="172">
    <w:name w:val="目录部分标题"/>
    <w:basedOn w:val="1"/>
    <w:link w:val="173"/>
    <w:qFormat/>
    <w:uiPriority w:val="0"/>
    <w:pPr>
      <w:spacing w:after="156" w:afterLines="50" w:line="360" w:lineRule="auto"/>
    </w:pPr>
    <w:rPr>
      <w:rFonts w:ascii="Times New Roman" w:hAnsi="Times New Roman" w:eastAsia="仿宋" w:cs="Times New Roman"/>
      <w:b/>
      <w:bCs/>
      <w:iCs/>
      <w:sz w:val="32"/>
      <w:szCs w:val="32"/>
      <w:lang w:bidi="en-US"/>
    </w:rPr>
  </w:style>
  <w:style w:type="character" w:customStyle="1" w:styleId="173">
    <w:name w:val="目录部分标题 字符"/>
    <w:basedOn w:val="34"/>
    <w:link w:val="172"/>
    <w:qFormat/>
    <w:uiPriority w:val="0"/>
    <w:rPr>
      <w:rFonts w:eastAsia="仿宋"/>
      <w:b/>
      <w:bCs/>
      <w:iCs/>
      <w:kern w:val="2"/>
      <w:sz w:val="32"/>
      <w:szCs w:val="32"/>
      <w:lang w:bidi="en-US"/>
    </w:rPr>
  </w:style>
  <w:style w:type="paragraph" w:customStyle="1" w:styleId="174">
    <w:name w:val="表格内容1"/>
    <w:basedOn w:val="129"/>
    <w:link w:val="175"/>
    <w:qFormat/>
    <w:uiPriority w:val="0"/>
    <w:pPr/>
  </w:style>
  <w:style w:type="character" w:customStyle="1" w:styleId="175">
    <w:name w:val="表格内容1 字符"/>
    <w:basedOn w:val="130"/>
    <w:link w:val="174"/>
    <w:qFormat/>
    <w:uiPriority w:val="0"/>
    <w:rPr>
      <w:rFonts w:ascii="Tahoma" w:hAnsi="Tahoma" w:eastAsia="仿宋" w:cs="黑体"/>
      <w:kern w:val="2"/>
      <w:sz w:val="21"/>
      <w:szCs w:val="21"/>
    </w:rPr>
  </w:style>
  <w:style w:type="paragraph" w:customStyle="1" w:styleId="176">
    <w:name w:val="图1"/>
    <w:basedOn w:val="139"/>
    <w:link w:val="177"/>
    <w:qFormat/>
    <w:uiPriority w:val="0"/>
    <w:pPr>
      <w:spacing w:after="48"/>
      <w:ind w:firstLine="1928" w:firstLineChars="800"/>
      <w:jc w:val="both"/>
    </w:pPr>
  </w:style>
  <w:style w:type="character" w:customStyle="1" w:styleId="177">
    <w:name w:val="图1 字符"/>
    <w:basedOn w:val="141"/>
    <w:link w:val="176"/>
    <w:qFormat/>
    <w:uiPriority w:val="0"/>
    <w:rPr>
      <w:rFonts w:eastAsia="仿宋" w:cs="黑体"/>
      <w:kern w:val="2"/>
      <w:sz w:val="24"/>
      <w:szCs w:val="24"/>
    </w:rPr>
  </w:style>
  <w:style w:type="character" w:customStyle="1" w:styleId="178">
    <w:name w:val="预案1号 Char"/>
    <w:link w:val="179"/>
    <w:qFormat/>
    <w:uiPriority w:val="0"/>
    <w:rPr>
      <w:rFonts w:ascii="宋体" w:hAnsi="宋体" w:cs="楷体_GB2312"/>
      <w:b/>
      <w:color w:val="000000"/>
      <w:spacing w:val="5"/>
      <w:kern w:val="44"/>
      <w:sz w:val="32"/>
      <w:szCs w:val="32"/>
      <w:lang w:val="zh-CN"/>
    </w:rPr>
  </w:style>
  <w:style w:type="paragraph" w:customStyle="1" w:styleId="179">
    <w:name w:val="预案1号"/>
    <w:basedOn w:val="3"/>
    <w:link w:val="178"/>
    <w:qFormat/>
    <w:uiPriority w:val="0"/>
    <w:pPr>
      <w:keepNext w:val="0"/>
      <w:keepLines w:val="0"/>
      <w:tabs>
        <w:tab w:val="left" w:pos="2100"/>
        <w:tab w:val="center" w:pos="4170"/>
      </w:tabs>
      <w:spacing w:beforeLines="50" w:afterLines="50" w:line="240" w:lineRule="auto"/>
      <w:ind w:left="28"/>
      <w:jc w:val="center"/>
    </w:pPr>
    <w:rPr>
      <w:rFonts w:ascii="宋体" w:hAnsi="宋体" w:cs="楷体_GB2312"/>
      <w:bCs w:val="0"/>
      <w:color w:val="000000"/>
      <w:spacing w:val="5"/>
      <w:sz w:val="32"/>
      <w:szCs w:val="32"/>
      <w:lang w:val="zh-CN"/>
    </w:rPr>
  </w:style>
  <w:style w:type="paragraph" w:customStyle="1" w:styleId="180">
    <w:name w:val="0"/>
    <w:basedOn w:val="1"/>
    <w:qFormat/>
    <w:uiPriority w:val="0"/>
    <w:pPr>
      <w:tabs>
        <w:tab w:val="left" w:pos="975"/>
      </w:tabs>
      <w:wordWrap w:val="0"/>
      <w:overflowPunct w:val="0"/>
      <w:snapToGrid w:val="0"/>
      <w:jc w:val="left"/>
    </w:pPr>
    <w:rPr>
      <w:rFonts w:ascii="Arial" w:hAnsi="宋体" w:eastAsia="仿宋_GB2312" w:cs="Times New Roman"/>
      <w:sz w:val="18"/>
      <w:szCs w:val="20"/>
    </w:rPr>
  </w:style>
  <w:style w:type="paragraph" w:customStyle="1" w:styleId="181">
    <w:name w:val="表体"/>
    <w:basedOn w:val="1"/>
    <w:qFormat/>
    <w:uiPriority w:val="99"/>
    <w:pPr>
      <w:overflowPunct w:val="0"/>
      <w:adjustRightInd w:val="0"/>
      <w:snapToGrid w:val="0"/>
      <w:spacing w:line="300" w:lineRule="atLeast"/>
      <w:jc w:val="center"/>
      <w:textAlignment w:val="baseline"/>
    </w:pPr>
    <w:rPr>
      <w:rFonts w:cs="Times New Roman"/>
      <w:b/>
      <w:color w:val="000000"/>
      <w:kern w:val="24"/>
      <w:sz w:val="18"/>
      <w:szCs w:val="20"/>
    </w:rPr>
  </w:style>
  <w:style w:type="character" w:customStyle="1" w:styleId="182">
    <w:name w:val="bottom1"/>
    <w:basedOn w:val="34"/>
    <w:qFormat/>
    <w:uiPriority w:val="0"/>
    <w:rPr>
      <w:color w:val="000000"/>
    </w:rPr>
  </w:style>
  <w:style w:type="character" w:customStyle="1" w:styleId="183">
    <w:name w:val="Body text + 6.5 pt"/>
    <w:qFormat/>
    <w:uiPriority w:val="0"/>
    <w:rPr>
      <w:rFonts w:ascii="宋体" w:hAnsi="宋体" w:eastAsia="宋体" w:cs="宋体"/>
      <w:color w:val="000000"/>
      <w:spacing w:val="0"/>
      <w:w w:val="100"/>
      <w:position w:val="0"/>
      <w:sz w:val="13"/>
      <w:szCs w:val="13"/>
      <w:u w:val="none"/>
      <w:lang w:val="en-US"/>
    </w:rPr>
  </w:style>
  <w:style w:type="character" w:customStyle="1" w:styleId="184">
    <w:name w:val="Body text + 4 pt"/>
    <w:qFormat/>
    <w:uiPriority w:val="0"/>
    <w:rPr>
      <w:rFonts w:ascii="宋体" w:hAnsi="宋体" w:eastAsia="宋体" w:cs="宋体"/>
      <w:color w:val="000000"/>
      <w:spacing w:val="0"/>
      <w:w w:val="100"/>
      <w:position w:val="0"/>
      <w:sz w:val="8"/>
      <w:szCs w:val="8"/>
      <w:u w:val="none"/>
    </w:rPr>
  </w:style>
  <w:style w:type="paragraph" w:customStyle="1" w:styleId="185">
    <w:name w:val="表格内"/>
    <w:basedOn w:val="1"/>
    <w:qFormat/>
    <w:uiPriority w:val="0"/>
    <w:pPr>
      <w:adjustRightInd w:val="0"/>
      <w:spacing w:line="240" w:lineRule="atLeast"/>
      <w:ind w:firstLine="0" w:firstLineChars="0"/>
      <w:jc w:val="center"/>
      <w:textAlignment w:val="baseline"/>
    </w:pPr>
    <w:rPr>
      <w:rFonts w:ascii="宋体" w:hAnsi="宋体" w:eastAsia="仿宋" w:cs="宋体"/>
      <w:kern w:val="0"/>
      <w:szCs w:val="28"/>
    </w:rPr>
  </w:style>
  <w:style w:type="paragraph" w:customStyle="1" w:styleId="186">
    <w:name w:val="表格文字2"/>
    <w:basedOn w:val="1"/>
    <w:qFormat/>
    <w:uiPriority w:val="0"/>
    <w:pPr>
      <w:tabs>
        <w:tab w:val="left" w:pos="277"/>
        <w:tab w:val="left" w:pos="600"/>
        <w:tab w:val="left" w:pos="780"/>
        <w:tab w:val="left" w:pos="2517"/>
      </w:tabs>
      <w:adjustRightInd w:val="0"/>
      <w:jc w:val="center"/>
      <w:textAlignment w:val="baseline"/>
    </w:pPr>
    <w:rPr>
      <w:kern w:val="0"/>
      <w:sz w:val="20"/>
      <w:szCs w:val="21"/>
    </w:rPr>
  </w:style>
  <w:style w:type="character" w:customStyle="1" w:styleId="187">
    <w:name w:val="font11"/>
    <w:basedOn w:val="34"/>
    <w:qFormat/>
    <w:uiPriority w:val="0"/>
    <w:rPr>
      <w:rFonts w:hint="eastAsia" w:ascii="宋体" w:hAnsi="宋体" w:eastAsia="宋体" w:cs="宋体"/>
      <w:color w:val="000000"/>
      <w:sz w:val="24"/>
      <w:szCs w:val="24"/>
      <w:u w:val="none"/>
    </w:rPr>
  </w:style>
  <w:style w:type="character" w:customStyle="1" w:styleId="188">
    <w:name w:val="font41"/>
    <w:basedOn w:val="34"/>
    <w:qFormat/>
    <w:uiPriority w:val="0"/>
    <w:rPr>
      <w:rFonts w:ascii="等线" w:hAnsi="等线" w:eastAsia="等线" w:cs="等线"/>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customXml" Target="../customXml/item2.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8.png"/><Relationship Id="rId21" Type="http://schemas.openxmlformats.org/officeDocument/2006/relationships/image" Target="media/image7.png"/><Relationship Id="rId20" Type="http://schemas.openxmlformats.org/officeDocument/2006/relationships/image" Target="media/image6.png"/><Relationship Id="rId2" Type="http://schemas.openxmlformats.org/officeDocument/2006/relationships/settings" Target="settings.xml"/><Relationship Id="rId19" Type="http://schemas.openxmlformats.org/officeDocument/2006/relationships/image" Target="media/image5.png"/><Relationship Id="rId18" Type="http://schemas.openxmlformats.org/officeDocument/2006/relationships/image" Target="media/image4.jpeg"/><Relationship Id="rId17" Type="http://schemas.openxmlformats.org/officeDocument/2006/relationships/image" Target="media/image3.png"/><Relationship Id="rId16" Type="http://schemas.openxmlformats.org/officeDocument/2006/relationships/image" Target="media/image2.png"/><Relationship Id="rId15" Type="http://schemas.openxmlformats.org/officeDocument/2006/relationships/image" Target="media/image1.jpeg"/><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header" Target="header4.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A9C259-78C9-49E8-9488-FEF09C2DEE1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86</Pages>
  <Words>7559</Words>
  <Characters>43088</Characters>
  <Lines>359</Lines>
  <Paragraphs>101</Paragraphs>
  <ScaleCrop>false</ScaleCrop>
  <LinksUpToDate>false</LinksUpToDate>
  <CharactersWithSpaces>50546</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2018-07-04T09:00:00Z</dcterms:created>
  <dc:creator>Administrator</dc:creator>
  <cp:lastModifiedBy>Administrator</cp:lastModifiedBy>
  <cp:lastPrinted>2020-09-15T02:58:00Z</cp:lastPrinted>
  <dcterms:modified xsi:type="dcterms:W3CDTF">2020-09-17T09:15:51Z</dcterms:modified>
  <dc:title>新疆光大山河化工科技有限公司</dc:title>
  <cp:revision>704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